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02B9B" w14:textId="77777777" w:rsidR="004814D8" w:rsidRDefault="00000000">
      <w:pPr>
        <w:ind w:firstLine="720"/>
        <w:jc w:val="center"/>
        <w:rPr>
          <w:color w:val="000000"/>
          <w:sz w:val="28"/>
          <w:szCs w:val="28"/>
        </w:rPr>
      </w:pPr>
      <w:r>
        <w:rPr>
          <w:b/>
          <w:color w:val="000000"/>
          <w:sz w:val="28"/>
          <w:szCs w:val="28"/>
        </w:rPr>
        <w:t>BOYS &amp; GIRLS CLUBS OF CHAFFEE COUNTY</w:t>
      </w:r>
    </w:p>
    <w:p w14:paraId="1AB582BF" w14:textId="77777777" w:rsidR="004814D8" w:rsidRDefault="00000000">
      <w:pPr>
        <w:jc w:val="center"/>
        <w:rPr>
          <w:color w:val="000000"/>
          <w:sz w:val="28"/>
          <w:szCs w:val="28"/>
        </w:rPr>
      </w:pPr>
      <w:r>
        <w:rPr>
          <w:b/>
          <w:color w:val="000000"/>
          <w:sz w:val="28"/>
          <w:szCs w:val="28"/>
        </w:rPr>
        <w:t>Investments and Reserves Policy</w:t>
      </w:r>
    </w:p>
    <w:p w14:paraId="40659E05" w14:textId="77777777" w:rsidR="004814D8" w:rsidRDefault="004814D8">
      <w:pPr>
        <w:jc w:val="center"/>
      </w:pPr>
    </w:p>
    <w:p w14:paraId="156C0E58" w14:textId="77777777" w:rsidR="004814D8" w:rsidRDefault="004814D8"/>
    <w:p w14:paraId="6D6F085A" w14:textId="77777777" w:rsidR="004814D8" w:rsidRDefault="00000000">
      <w:proofErr w:type="gramStart"/>
      <w:r>
        <w:rPr>
          <w:b/>
        </w:rPr>
        <w:t xml:space="preserve">I  </w:t>
      </w:r>
      <w:r>
        <w:rPr>
          <w:b/>
        </w:rPr>
        <w:tab/>
      </w:r>
      <w:proofErr w:type="gramEnd"/>
      <w:r>
        <w:rPr>
          <w:b/>
        </w:rPr>
        <w:t>Purpose</w:t>
      </w:r>
      <w:r>
        <w:rPr>
          <w:b/>
          <w:color w:val="000000"/>
        </w:rPr>
        <w:t>, Background and Overview of Policy</w:t>
      </w:r>
    </w:p>
    <w:p w14:paraId="57A06259" w14:textId="77777777" w:rsidR="004814D8" w:rsidRDefault="00000000">
      <w:r>
        <w:tab/>
      </w:r>
    </w:p>
    <w:p w14:paraId="3EE9E1B3" w14:textId="77777777" w:rsidR="004814D8" w:rsidRDefault="00000000">
      <w:pPr>
        <w:spacing w:after="120"/>
        <w:rPr>
          <w:color w:val="000000"/>
        </w:rPr>
      </w:pPr>
      <w:r>
        <w:rPr>
          <w:color w:val="000000"/>
        </w:rPr>
        <w:t>The purpose of this Investments and Reserves Policy (Policy) of the Boys and Girls Clubs of Chaffee County (BGCCC) is to establish an Investment Committee (Committee) and to outline the framework for the BGCCC’s Board of Directors (Board) to follow in overseeing the investment of monetary resources.</w:t>
      </w:r>
    </w:p>
    <w:p w14:paraId="2D84630D" w14:textId="77777777" w:rsidR="004814D8" w:rsidRDefault="00000000">
      <w:pPr>
        <w:rPr>
          <w:color w:val="000000"/>
        </w:rPr>
      </w:pPr>
      <w:r>
        <w:rPr>
          <w:color w:val="000000"/>
        </w:rPr>
        <w:t xml:space="preserve">The Policy describes six categories of holdings or portfolios (Funds), each with a differing time horizon and investment strategy that impacts how each shall be invested. The purpose of BGCCC’s various investment </w:t>
      </w:r>
      <w:r>
        <w:t>F</w:t>
      </w:r>
      <w:r>
        <w:rPr>
          <w:color w:val="000000"/>
        </w:rPr>
        <w:t>unds is to ensure the organization’s long-range financial stability to continue to serve our community by offering a broad range of youth services.</w:t>
      </w:r>
    </w:p>
    <w:p w14:paraId="4AD8A717" w14:textId="77777777" w:rsidR="004814D8" w:rsidRDefault="004814D8">
      <w:pPr>
        <w:rPr>
          <w:color w:val="000000"/>
        </w:rPr>
      </w:pPr>
    </w:p>
    <w:p w14:paraId="748EEE20" w14:textId="77777777" w:rsidR="004814D8" w:rsidRDefault="00000000">
      <w:pPr>
        <w:rPr>
          <w:color w:val="000000"/>
        </w:rPr>
      </w:pPr>
      <w:r>
        <w:rPr>
          <w:color w:val="000000"/>
        </w:rPr>
        <w:t>This Policy provides written documentation of policies, practices, and procedures for making investment selections; sets a clear framework to ensure continuity during staff, Board, and Comm</w:t>
      </w:r>
      <w:r>
        <w:t>ittee member</w:t>
      </w:r>
      <w:r>
        <w:rPr>
          <w:color w:val="000000"/>
        </w:rPr>
        <w:t xml:space="preserve"> turnover; and provides a standard in supervising, evaluating, and monitoring the investments in a method consistent with the objectives of the Funds. </w:t>
      </w:r>
    </w:p>
    <w:p w14:paraId="2A523A7C" w14:textId="77777777" w:rsidR="004814D8" w:rsidRDefault="004814D8">
      <w:pPr>
        <w:rPr>
          <w:color w:val="000000"/>
        </w:rPr>
      </w:pPr>
    </w:p>
    <w:p w14:paraId="2F9A8070" w14:textId="77777777" w:rsidR="004814D8" w:rsidRDefault="00000000">
      <w:pPr>
        <w:rPr>
          <w:color w:val="000000"/>
        </w:rPr>
      </w:pPr>
      <w:r>
        <w:rPr>
          <w:color w:val="000000"/>
        </w:rPr>
        <w:t xml:space="preserve">The Committee, as fiduciaries under all applicable laws, oversees investments of all Funds and recommends to the Board for approval an asset allocation to be maintained that is consistent with the BGCCC’s objectives and policies and in accordance with the duties and responsibilities set forth herein. </w:t>
      </w:r>
    </w:p>
    <w:p w14:paraId="553E16E9" w14:textId="77777777" w:rsidR="004814D8" w:rsidRDefault="004814D8">
      <w:pPr>
        <w:rPr>
          <w:color w:val="000000"/>
        </w:rPr>
      </w:pPr>
    </w:p>
    <w:p w14:paraId="4A01DAC3" w14:textId="77777777" w:rsidR="004814D8" w:rsidRDefault="00000000">
      <w:pPr>
        <w:rPr>
          <w:color w:val="000000"/>
        </w:rPr>
      </w:pPr>
      <w:r>
        <w:rPr>
          <w:color w:val="000000"/>
        </w:rPr>
        <w:t xml:space="preserve">On May 26, 2016, the Board voted to establish a board-designated endowment (quasi-endowment) and initially designated $40,000 of assets for this purpose. Subsequently, the board-designated balance has been increased by the annual operating surplus, less any other reserves deemed necessary by the Board. The Board approved a Resolution on Endowment on June 18, </w:t>
      </w:r>
      <w:proofErr w:type="gramStart"/>
      <w:r>
        <w:rPr>
          <w:color w:val="000000"/>
        </w:rPr>
        <w:t>2018</w:t>
      </w:r>
      <w:proofErr w:type="gramEnd"/>
      <w:r>
        <w:rPr>
          <w:color w:val="000000"/>
        </w:rPr>
        <w:t xml:space="preserve"> and an initial $2,000 in donor restricted funds was accepted. This Policy supersedes previous policies as listed in section XVII, Approval and Revision History. The donor restricted and board-designated amounts are managed as one Fund (the Endowment). </w:t>
      </w:r>
    </w:p>
    <w:p w14:paraId="443236D1" w14:textId="77777777" w:rsidR="004814D8" w:rsidRDefault="00000000">
      <w:pPr>
        <w:rPr>
          <w:color w:val="000000"/>
        </w:rPr>
      </w:pPr>
      <w:r>
        <w:rPr>
          <w:color w:val="000000"/>
        </w:rPr>
        <w:t xml:space="preserve"> </w:t>
      </w:r>
    </w:p>
    <w:p w14:paraId="556DD0CF" w14:textId="77777777" w:rsidR="004814D8" w:rsidRDefault="00000000">
      <w:r>
        <w:rPr>
          <w:b/>
        </w:rPr>
        <w:t>II</w:t>
      </w:r>
      <w:r>
        <w:rPr>
          <w:b/>
        </w:rPr>
        <w:tab/>
        <w:t>Objectives</w:t>
      </w:r>
    </w:p>
    <w:p w14:paraId="70F069B7" w14:textId="77777777" w:rsidR="004814D8" w:rsidRDefault="004814D8"/>
    <w:p w14:paraId="52148D7C" w14:textId="77777777" w:rsidR="004814D8" w:rsidRDefault="00000000">
      <w:r>
        <w:t xml:space="preserve">Funds are managed on a total return basis, consistent with all applicable laws. </w:t>
      </w:r>
      <w:r>
        <w:rPr>
          <w:color w:val="000000"/>
        </w:rPr>
        <w:t>The general management objectives for the B</w:t>
      </w:r>
      <w:r>
        <w:t>GCCC</w:t>
      </w:r>
      <w:r>
        <w:rPr>
          <w:color w:val="000000"/>
        </w:rPr>
        <w:t xml:space="preserve"> are outlined in the following table:</w:t>
      </w:r>
    </w:p>
    <w:p w14:paraId="7984BF8F" w14:textId="77777777" w:rsidR="004814D8" w:rsidRDefault="00000000">
      <w:pPr>
        <w:rPr>
          <w:color w:val="000000"/>
        </w:rPr>
      </w:pPr>
      <w:r>
        <w:br w:type="page"/>
      </w:r>
    </w:p>
    <w:p w14:paraId="74B5D844" w14:textId="77777777" w:rsidR="004814D8" w:rsidRDefault="004814D8">
      <w:pPr>
        <w:rPr>
          <w:color w:val="000000"/>
        </w:rPr>
      </w:pPr>
    </w:p>
    <w:tbl>
      <w:tblPr>
        <w:tblStyle w:val="a"/>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1890"/>
        <w:gridCol w:w="1890"/>
        <w:gridCol w:w="1890"/>
        <w:gridCol w:w="1890"/>
      </w:tblGrid>
      <w:tr w:rsidR="004814D8" w14:paraId="3E7D6AE0" w14:textId="77777777">
        <w:tc>
          <w:tcPr>
            <w:tcW w:w="1890" w:type="dxa"/>
          </w:tcPr>
          <w:p w14:paraId="7F36AAB3" w14:textId="77777777" w:rsidR="004814D8" w:rsidRDefault="00000000">
            <w:pPr>
              <w:pBdr>
                <w:top w:val="nil"/>
                <w:left w:val="nil"/>
                <w:bottom w:val="nil"/>
                <w:right w:val="nil"/>
                <w:between w:val="nil"/>
              </w:pBdr>
              <w:rPr>
                <w:color w:val="000000"/>
              </w:rPr>
            </w:pPr>
            <w:r>
              <w:rPr>
                <w:b/>
                <w:color w:val="000000"/>
              </w:rPr>
              <w:t>Fund &amp; Time Horizon</w:t>
            </w:r>
          </w:p>
        </w:tc>
        <w:tc>
          <w:tcPr>
            <w:tcW w:w="1890" w:type="dxa"/>
          </w:tcPr>
          <w:p w14:paraId="6F3F9AEC" w14:textId="77777777" w:rsidR="004814D8" w:rsidRDefault="00000000">
            <w:pPr>
              <w:pBdr>
                <w:top w:val="nil"/>
                <w:left w:val="nil"/>
                <w:bottom w:val="nil"/>
                <w:right w:val="nil"/>
                <w:between w:val="nil"/>
              </w:pBdr>
              <w:rPr>
                <w:color w:val="000000"/>
              </w:rPr>
            </w:pPr>
            <w:r>
              <w:rPr>
                <w:b/>
                <w:color w:val="000000"/>
              </w:rPr>
              <w:t>Definition and Management Objective</w:t>
            </w:r>
          </w:p>
        </w:tc>
        <w:tc>
          <w:tcPr>
            <w:tcW w:w="1890" w:type="dxa"/>
          </w:tcPr>
          <w:p w14:paraId="76274059" w14:textId="77777777" w:rsidR="004814D8" w:rsidRDefault="00000000">
            <w:pPr>
              <w:pBdr>
                <w:top w:val="nil"/>
                <w:left w:val="nil"/>
                <w:bottom w:val="nil"/>
                <w:right w:val="nil"/>
                <w:between w:val="nil"/>
              </w:pBdr>
              <w:rPr>
                <w:color w:val="000000"/>
              </w:rPr>
            </w:pPr>
            <w:r>
              <w:rPr>
                <w:b/>
                <w:color w:val="000000"/>
              </w:rPr>
              <w:t>Balance to Maintain</w:t>
            </w:r>
          </w:p>
        </w:tc>
        <w:tc>
          <w:tcPr>
            <w:tcW w:w="1890" w:type="dxa"/>
          </w:tcPr>
          <w:p w14:paraId="5ADC96D5" w14:textId="77777777" w:rsidR="004814D8" w:rsidRDefault="00000000">
            <w:pPr>
              <w:pBdr>
                <w:top w:val="nil"/>
                <w:left w:val="nil"/>
                <w:bottom w:val="nil"/>
                <w:right w:val="nil"/>
                <w:between w:val="nil"/>
              </w:pBdr>
              <w:rPr>
                <w:color w:val="000000"/>
              </w:rPr>
            </w:pPr>
            <w:r>
              <w:rPr>
                <w:b/>
                <w:color w:val="000000"/>
              </w:rPr>
              <w:t>Allowable Investments</w:t>
            </w:r>
          </w:p>
        </w:tc>
        <w:tc>
          <w:tcPr>
            <w:tcW w:w="1890" w:type="dxa"/>
          </w:tcPr>
          <w:p w14:paraId="5B9356FF" w14:textId="77777777" w:rsidR="004814D8" w:rsidRDefault="00000000">
            <w:pPr>
              <w:pBdr>
                <w:top w:val="nil"/>
                <w:left w:val="nil"/>
                <w:bottom w:val="nil"/>
                <w:right w:val="nil"/>
                <w:between w:val="nil"/>
              </w:pBdr>
              <w:rPr>
                <w:color w:val="000000"/>
              </w:rPr>
            </w:pPr>
            <w:r>
              <w:rPr>
                <w:b/>
                <w:color w:val="000000"/>
              </w:rPr>
              <w:t>Allowable Spending</w:t>
            </w:r>
          </w:p>
        </w:tc>
      </w:tr>
      <w:tr w:rsidR="004814D8" w14:paraId="08ADE706" w14:textId="77777777">
        <w:tc>
          <w:tcPr>
            <w:tcW w:w="1890" w:type="dxa"/>
          </w:tcPr>
          <w:p w14:paraId="6C79DEFA" w14:textId="77777777" w:rsidR="004814D8" w:rsidRDefault="00000000">
            <w:pPr>
              <w:pBdr>
                <w:top w:val="nil"/>
                <w:left w:val="nil"/>
                <w:bottom w:val="nil"/>
                <w:right w:val="nil"/>
                <w:between w:val="nil"/>
              </w:pBdr>
              <w:rPr>
                <w:color w:val="000000"/>
                <w:sz w:val="22"/>
                <w:szCs w:val="22"/>
              </w:rPr>
            </w:pPr>
            <w:r>
              <w:rPr>
                <w:b/>
                <w:color w:val="000000"/>
                <w:sz w:val="22"/>
                <w:szCs w:val="22"/>
              </w:rPr>
              <w:t>Current Operations</w:t>
            </w:r>
          </w:p>
          <w:p w14:paraId="1A6C013A" w14:textId="77777777" w:rsidR="004814D8" w:rsidRDefault="004814D8">
            <w:pPr>
              <w:pBdr>
                <w:top w:val="nil"/>
                <w:left w:val="nil"/>
                <w:bottom w:val="nil"/>
                <w:right w:val="nil"/>
                <w:between w:val="nil"/>
              </w:pBdr>
              <w:rPr>
                <w:color w:val="000000"/>
                <w:sz w:val="22"/>
                <w:szCs w:val="22"/>
              </w:rPr>
            </w:pPr>
          </w:p>
          <w:p w14:paraId="3C77D0D5" w14:textId="77777777" w:rsidR="004814D8" w:rsidRDefault="00000000">
            <w:pPr>
              <w:pBdr>
                <w:top w:val="nil"/>
                <w:left w:val="nil"/>
                <w:bottom w:val="nil"/>
                <w:right w:val="nil"/>
                <w:between w:val="nil"/>
              </w:pBdr>
              <w:rPr>
                <w:color w:val="000000"/>
                <w:sz w:val="22"/>
                <w:szCs w:val="22"/>
              </w:rPr>
            </w:pPr>
            <w:r>
              <w:rPr>
                <w:i/>
                <w:color w:val="000000"/>
                <w:sz w:val="22"/>
                <w:szCs w:val="22"/>
              </w:rPr>
              <w:t>Short term / current liquidity</w:t>
            </w:r>
          </w:p>
        </w:tc>
        <w:tc>
          <w:tcPr>
            <w:tcW w:w="1890" w:type="dxa"/>
          </w:tcPr>
          <w:p w14:paraId="5B934F26" w14:textId="77777777" w:rsidR="004814D8" w:rsidRDefault="00000000">
            <w:pPr>
              <w:pBdr>
                <w:top w:val="nil"/>
                <w:left w:val="nil"/>
                <w:bottom w:val="nil"/>
                <w:right w:val="nil"/>
                <w:between w:val="nil"/>
              </w:pBdr>
              <w:rPr>
                <w:color w:val="000000"/>
                <w:sz w:val="22"/>
                <w:szCs w:val="22"/>
              </w:rPr>
            </w:pPr>
            <w:r>
              <w:rPr>
                <w:color w:val="000000"/>
                <w:sz w:val="22"/>
                <w:szCs w:val="22"/>
              </w:rPr>
              <w:t>Cash flow for ongoing operations.</w:t>
            </w:r>
          </w:p>
        </w:tc>
        <w:tc>
          <w:tcPr>
            <w:tcW w:w="1890" w:type="dxa"/>
          </w:tcPr>
          <w:p w14:paraId="3D50417E" w14:textId="77777777" w:rsidR="004814D8" w:rsidRDefault="00000000">
            <w:pPr>
              <w:rPr>
                <w:color w:val="000000"/>
                <w:sz w:val="22"/>
                <w:szCs w:val="22"/>
              </w:rPr>
            </w:pPr>
            <w:r>
              <w:rPr>
                <w:color w:val="000000"/>
                <w:sz w:val="22"/>
                <w:szCs w:val="22"/>
              </w:rPr>
              <w:t>60 days forecasted net cash outlay.</w:t>
            </w:r>
          </w:p>
        </w:tc>
        <w:tc>
          <w:tcPr>
            <w:tcW w:w="1890" w:type="dxa"/>
          </w:tcPr>
          <w:p w14:paraId="4AED4CB3" w14:textId="77777777" w:rsidR="004814D8" w:rsidRDefault="00000000">
            <w:pPr>
              <w:rPr>
                <w:color w:val="000000"/>
                <w:sz w:val="22"/>
                <w:szCs w:val="22"/>
              </w:rPr>
            </w:pPr>
            <w:r>
              <w:rPr>
                <w:color w:val="000000"/>
                <w:sz w:val="22"/>
                <w:szCs w:val="22"/>
              </w:rPr>
              <w:t>FDIC insured accounts:</w:t>
            </w:r>
          </w:p>
          <w:p w14:paraId="0CA44546" w14:textId="77777777" w:rsidR="004814D8" w:rsidRDefault="00000000">
            <w:pPr>
              <w:numPr>
                <w:ilvl w:val="0"/>
                <w:numId w:val="6"/>
              </w:numPr>
              <w:ind w:left="211" w:hanging="180"/>
              <w:rPr>
                <w:color w:val="000000"/>
                <w:sz w:val="22"/>
                <w:szCs w:val="22"/>
              </w:rPr>
            </w:pPr>
            <w:r>
              <w:rPr>
                <w:color w:val="000000"/>
                <w:sz w:val="22"/>
                <w:szCs w:val="22"/>
              </w:rPr>
              <w:t>Business checking account</w:t>
            </w:r>
          </w:p>
          <w:p w14:paraId="15024488" w14:textId="77777777" w:rsidR="004814D8" w:rsidRDefault="00000000">
            <w:pPr>
              <w:numPr>
                <w:ilvl w:val="0"/>
                <w:numId w:val="6"/>
              </w:numPr>
              <w:ind w:left="211" w:hanging="180"/>
              <w:rPr>
                <w:color w:val="000000"/>
                <w:sz w:val="22"/>
                <w:szCs w:val="22"/>
              </w:rPr>
            </w:pPr>
            <w:r>
              <w:rPr>
                <w:color w:val="000000"/>
                <w:sz w:val="22"/>
                <w:szCs w:val="22"/>
              </w:rPr>
              <w:t xml:space="preserve">Savings or sweep </w:t>
            </w:r>
            <w:proofErr w:type="gramStart"/>
            <w:r>
              <w:rPr>
                <w:color w:val="000000"/>
                <w:sz w:val="22"/>
                <w:szCs w:val="22"/>
              </w:rPr>
              <w:t>account</w:t>
            </w:r>
            <w:proofErr w:type="gramEnd"/>
          </w:p>
          <w:p w14:paraId="130BCE6E" w14:textId="77777777" w:rsidR="004814D8" w:rsidRDefault="00000000">
            <w:pPr>
              <w:numPr>
                <w:ilvl w:val="0"/>
                <w:numId w:val="6"/>
              </w:numPr>
              <w:ind w:left="211" w:hanging="180"/>
              <w:rPr>
                <w:color w:val="000000"/>
                <w:sz w:val="22"/>
                <w:szCs w:val="22"/>
              </w:rPr>
            </w:pPr>
            <w:r>
              <w:rPr>
                <w:color w:val="000000"/>
                <w:sz w:val="22"/>
                <w:szCs w:val="22"/>
              </w:rPr>
              <w:t>Money market account</w:t>
            </w:r>
          </w:p>
        </w:tc>
        <w:tc>
          <w:tcPr>
            <w:tcW w:w="1890" w:type="dxa"/>
          </w:tcPr>
          <w:p w14:paraId="285CBC3B" w14:textId="5526F461" w:rsidR="004814D8" w:rsidRDefault="00000000">
            <w:pPr>
              <w:rPr>
                <w:color w:val="000000"/>
                <w:sz w:val="22"/>
                <w:szCs w:val="22"/>
              </w:rPr>
            </w:pPr>
            <w:r>
              <w:rPr>
                <w:color w:val="000000"/>
                <w:sz w:val="22"/>
                <w:szCs w:val="22"/>
              </w:rPr>
              <w:t>Disbursements to meet daily cash requirements of operations (pay employees and vendors on time) and make minor investments in facilities.</w:t>
            </w:r>
          </w:p>
        </w:tc>
      </w:tr>
      <w:tr w:rsidR="004814D8" w14:paraId="6C34E974" w14:textId="77777777">
        <w:tc>
          <w:tcPr>
            <w:tcW w:w="1890" w:type="dxa"/>
          </w:tcPr>
          <w:p w14:paraId="12847E84" w14:textId="77777777" w:rsidR="004814D8" w:rsidRDefault="00000000">
            <w:pPr>
              <w:pBdr>
                <w:top w:val="nil"/>
                <w:left w:val="nil"/>
                <w:bottom w:val="nil"/>
                <w:right w:val="nil"/>
                <w:between w:val="nil"/>
              </w:pBdr>
              <w:rPr>
                <w:color w:val="000000"/>
                <w:sz w:val="22"/>
                <w:szCs w:val="22"/>
              </w:rPr>
            </w:pPr>
            <w:r>
              <w:rPr>
                <w:b/>
                <w:color w:val="000000"/>
                <w:sz w:val="22"/>
                <w:szCs w:val="22"/>
              </w:rPr>
              <w:t xml:space="preserve">Operating Reserves </w:t>
            </w:r>
          </w:p>
          <w:p w14:paraId="7FF63D4E" w14:textId="77777777" w:rsidR="004814D8" w:rsidRDefault="004814D8">
            <w:pPr>
              <w:pBdr>
                <w:top w:val="nil"/>
                <w:left w:val="nil"/>
                <w:bottom w:val="nil"/>
                <w:right w:val="nil"/>
                <w:between w:val="nil"/>
              </w:pBdr>
              <w:rPr>
                <w:color w:val="000000"/>
                <w:sz w:val="22"/>
                <w:szCs w:val="22"/>
              </w:rPr>
            </w:pPr>
          </w:p>
          <w:p w14:paraId="249AD1BF" w14:textId="77777777" w:rsidR="004814D8" w:rsidRDefault="00000000">
            <w:pPr>
              <w:pBdr>
                <w:top w:val="nil"/>
                <w:left w:val="nil"/>
                <w:bottom w:val="nil"/>
                <w:right w:val="nil"/>
                <w:between w:val="nil"/>
              </w:pBdr>
              <w:rPr>
                <w:color w:val="000000"/>
                <w:sz w:val="22"/>
                <w:szCs w:val="22"/>
              </w:rPr>
            </w:pPr>
            <w:r>
              <w:rPr>
                <w:i/>
                <w:color w:val="000000"/>
                <w:sz w:val="22"/>
                <w:szCs w:val="22"/>
              </w:rPr>
              <w:t xml:space="preserve">Perpetual reserve adjusted annually; investments should be liquid or have inconsequential risk of loss in the event of liquidation prior to </w:t>
            </w:r>
            <w:proofErr w:type="gramStart"/>
            <w:r>
              <w:rPr>
                <w:i/>
                <w:color w:val="000000"/>
                <w:sz w:val="22"/>
                <w:szCs w:val="22"/>
              </w:rPr>
              <w:t>maturity</w:t>
            </w:r>
            <w:proofErr w:type="gramEnd"/>
            <w:r>
              <w:rPr>
                <w:i/>
                <w:color w:val="000000"/>
                <w:sz w:val="22"/>
                <w:szCs w:val="22"/>
              </w:rPr>
              <w:t xml:space="preserve"> </w:t>
            </w:r>
          </w:p>
          <w:p w14:paraId="626D6254" w14:textId="77777777" w:rsidR="004814D8" w:rsidRDefault="004814D8">
            <w:pPr>
              <w:pBdr>
                <w:top w:val="nil"/>
                <w:left w:val="nil"/>
                <w:bottom w:val="nil"/>
                <w:right w:val="nil"/>
                <w:between w:val="nil"/>
              </w:pBdr>
              <w:rPr>
                <w:color w:val="000000"/>
                <w:sz w:val="22"/>
                <w:szCs w:val="22"/>
              </w:rPr>
            </w:pPr>
          </w:p>
        </w:tc>
        <w:tc>
          <w:tcPr>
            <w:tcW w:w="1890" w:type="dxa"/>
          </w:tcPr>
          <w:p w14:paraId="19621778" w14:textId="77777777" w:rsidR="004814D8" w:rsidRDefault="00000000">
            <w:pPr>
              <w:pBdr>
                <w:top w:val="nil"/>
                <w:left w:val="nil"/>
                <w:bottom w:val="nil"/>
                <w:right w:val="nil"/>
                <w:between w:val="nil"/>
              </w:pBdr>
              <w:rPr>
                <w:color w:val="000000"/>
                <w:sz w:val="22"/>
                <w:szCs w:val="22"/>
              </w:rPr>
            </w:pPr>
            <w:r>
              <w:rPr>
                <w:color w:val="000000"/>
                <w:sz w:val="22"/>
                <w:szCs w:val="22"/>
              </w:rPr>
              <w:t xml:space="preserve">Cash flow for operations in the event of emergencies and/or unexpected financial situations. Amounts may be invested beyond one year, weighing incremental rate of returns and potential losses for failure to hold investment to maturity if the need arises to liquidate. </w:t>
            </w:r>
          </w:p>
        </w:tc>
        <w:tc>
          <w:tcPr>
            <w:tcW w:w="1890" w:type="dxa"/>
          </w:tcPr>
          <w:p w14:paraId="632B2019" w14:textId="77777777" w:rsidR="004814D8" w:rsidRDefault="00000000">
            <w:pPr>
              <w:rPr>
                <w:color w:val="000000"/>
                <w:sz w:val="22"/>
                <w:szCs w:val="22"/>
              </w:rPr>
            </w:pPr>
            <w:r>
              <w:rPr>
                <w:color w:val="000000"/>
                <w:sz w:val="22"/>
                <w:szCs w:val="22"/>
              </w:rPr>
              <w:t>Balance should be maintained equal to six months of the operating expense budget, less any non-cash expenses (</w:t>
            </w:r>
            <w:proofErr w:type="spellStart"/>
            <w:r>
              <w:rPr>
                <w:color w:val="000000"/>
                <w:sz w:val="22"/>
                <w:szCs w:val="22"/>
              </w:rPr>
              <w:t>eg.</w:t>
            </w:r>
            <w:proofErr w:type="spellEnd"/>
            <w:r>
              <w:rPr>
                <w:color w:val="000000"/>
                <w:sz w:val="22"/>
                <w:szCs w:val="22"/>
              </w:rPr>
              <w:t xml:space="preserve"> depreciation, in-kind).</w:t>
            </w:r>
          </w:p>
        </w:tc>
        <w:tc>
          <w:tcPr>
            <w:tcW w:w="1890" w:type="dxa"/>
          </w:tcPr>
          <w:p w14:paraId="087B4031" w14:textId="77777777" w:rsidR="004814D8" w:rsidRDefault="00000000">
            <w:pPr>
              <w:rPr>
                <w:color w:val="000000"/>
                <w:sz w:val="22"/>
                <w:szCs w:val="22"/>
              </w:rPr>
            </w:pPr>
            <w:r>
              <w:rPr>
                <w:color w:val="000000"/>
                <w:sz w:val="22"/>
                <w:szCs w:val="22"/>
              </w:rPr>
              <w:t>FDIC insured accounts:</w:t>
            </w:r>
          </w:p>
          <w:p w14:paraId="7B5A5ADC" w14:textId="77777777" w:rsidR="004814D8" w:rsidRDefault="00000000">
            <w:pPr>
              <w:numPr>
                <w:ilvl w:val="0"/>
                <w:numId w:val="6"/>
              </w:numPr>
              <w:ind w:left="211" w:hanging="180"/>
              <w:rPr>
                <w:color w:val="000000"/>
                <w:sz w:val="22"/>
                <w:szCs w:val="22"/>
              </w:rPr>
            </w:pPr>
            <w:r>
              <w:rPr>
                <w:color w:val="000000"/>
                <w:sz w:val="22"/>
                <w:szCs w:val="22"/>
              </w:rPr>
              <w:t>Bank savings account</w:t>
            </w:r>
          </w:p>
          <w:p w14:paraId="545C9990" w14:textId="77777777" w:rsidR="004814D8" w:rsidRDefault="00000000">
            <w:pPr>
              <w:numPr>
                <w:ilvl w:val="0"/>
                <w:numId w:val="6"/>
              </w:numPr>
              <w:ind w:left="211" w:hanging="180"/>
              <w:rPr>
                <w:color w:val="000000"/>
                <w:sz w:val="22"/>
                <w:szCs w:val="22"/>
              </w:rPr>
            </w:pPr>
            <w:r>
              <w:rPr>
                <w:color w:val="000000"/>
                <w:sz w:val="22"/>
                <w:szCs w:val="22"/>
              </w:rPr>
              <w:t>Money market account</w:t>
            </w:r>
          </w:p>
          <w:p w14:paraId="7F7C1C06" w14:textId="77777777" w:rsidR="004814D8" w:rsidRDefault="00000000">
            <w:pPr>
              <w:numPr>
                <w:ilvl w:val="0"/>
                <w:numId w:val="6"/>
              </w:numPr>
              <w:ind w:left="211" w:hanging="180"/>
              <w:rPr>
                <w:color w:val="000000"/>
                <w:sz w:val="22"/>
                <w:szCs w:val="22"/>
              </w:rPr>
            </w:pPr>
            <w:r>
              <w:rPr>
                <w:color w:val="000000"/>
                <w:sz w:val="22"/>
                <w:szCs w:val="22"/>
              </w:rPr>
              <w:t>Certificates of Deposit</w:t>
            </w:r>
          </w:p>
          <w:p w14:paraId="574C15E7" w14:textId="77777777" w:rsidR="004814D8" w:rsidRDefault="004814D8">
            <w:pPr>
              <w:ind w:left="211"/>
              <w:rPr>
                <w:color w:val="000000"/>
                <w:sz w:val="22"/>
                <w:szCs w:val="22"/>
              </w:rPr>
            </w:pPr>
          </w:p>
          <w:p w14:paraId="1CF12559" w14:textId="77777777" w:rsidR="004814D8" w:rsidRDefault="00000000">
            <w:pPr>
              <w:ind w:left="31"/>
              <w:rPr>
                <w:color w:val="000000"/>
                <w:sz w:val="22"/>
                <w:szCs w:val="22"/>
              </w:rPr>
            </w:pPr>
            <w:r>
              <w:rPr>
                <w:color w:val="000000"/>
                <w:sz w:val="22"/>
                <w:szCs w:val="22"/>
              </w:rPr>
              <w:t>US Treasury Instruments</w:t>
            </w:r>
          </w:p>
        </w:tc>
        <w:tc>
          <w:tcPr>
            <w:tcW w:w="1890" w:type="dxa"/>
          </w:tcPr>
          <w:p w14:paraId="2F5BB4D4" w14:textId="527A0162" w:rsidR="004814D8" w:rsidRPr="000D2A60" w:rsidRDefault="00000000">
            <w:pPr>
              <w:rPr>
                <w:sz w:val="22"/>
                <w:szCs w:val="22"/>
              </w:rPr>
            </w:pPr>
            <w:r>
              <w:rPr>
                <w:sz w:val="22"/>
                <w:szCs w:val="22"/>
              </w:rPr>
              <w:t xml:space="preserve">Can be spent </w:t>
            </w:r>
            <w:r>
              <w:rPr>
                <w:color w:val="000000"/>
                <w:sz w:val="22"/>
                <w:szCs w:val="22"/>
              </w:rPr>
              <w:t xml:space="preserve">in the event of emergencies and/or unexpected events, losses of income and large unbudgeted expenses. Intended </w:t>
            </w:r>
            <w:r>
              <w:rPr>
                <w:sz w:val="22"/>
                <w:szCs w:val="22"/>
              </w:rPr>
              <w:t>to solve temporary problems, not to cover long-term or systemic income shortfalls that, rather, would require new revenue sources or a reduction of operating expenses.</w:t>
            </w:r>
          </w:p>
        </w:tc>
      </w:tr>
      <w:tr w:rsidR="004814D8" w14:paraId="2A2A81D2" w14:textId="77777777">
        <w:tc>
          <w:tcPr>
            <w:tcW w:w="1890" w:type="dxa"/>
          </w:tcPr>
          <w:p w14:paraId="44ECE912" w14:textId="77777777" w:rsidR="004814D8" w:rsidRDefault="00000000">
            <w:pPr>
              <w:pBdr>
                <w:top w:val="nil"/>
                <w:left w:val="nil"/>
                <w:bottom w:val="nil"/>
                <w:right w:val="nil"/>
                <w:between w:val="nil"/>
              </w:pBdr>
              <w:rPr>
                <w:color w:val="000000"/>
                <w:sz w:val="22"/>
                <w:szCs w:val="22"/>
              </w:rPr>
            </w:pPr>
            <w:r>
              <w:rPr>
                <w:b/>
                <w:color w:val="000000"/>
                <w:sz w:val="22"/>
                <w:szCs w:val="22"/>
              </w:rPr>
              <w:t>Capital or Building Fund</w:t>
            </w:r>
          </w:p>
          <w:p w14:paraId="4FB640F6" w14:textId="77777777" w:rsidR="004814D8" w:rsidRDefault="004814D8">
            <w:pPr>
              <w:pBdr>
                <w:top w:val="nil"/>
                <w:left w:val="nil"/>
                <w:bottom w:val="nil"/>
                <w:right w:val="nil"/>
                <w:between w:val="nil"/>
              </w:pBdr>
              <w:rPr>
                <w:color w:val="000000"/>
                <w:sz w:val="22"/>
                <w:szCs w:val="22"/>
              </w:rPr>
            </w:pPr>
          </w:p>
          <w:p w14:paraId="1DE70D03" w14:textId="77777777" w:rsidR="004814D8" w:rsidRDefault="00000000">
            <w:pPr>
              <w:pBdr>
                <w:top w:val="nil"/>
                <w:left w:val="nil"/>
                <w:bottom w:val="nil"/>
                <w:right w:val="nil"/>
                <w:between w:val="nil"/>
              </w:pBdr>
              <w:rPr>
                <w:color w:val="000000"/>
                <w:sz w:val="22"/>
                <w:szCs w:val="22"/>
              </w:rPr>
            </w:pPr>
            <w:r>
              <w:rPr>
                <w:i/>
                <w:color w:val="000000"/>
                <w:sz w:val="22"/>
                <w:szCs w:val="22"/>
              </w:rPr>
              <w:t xml:space="preserve">Perpetual reserve adjusted annually; time horizon varies with planned </w:t>
            </w:r>
            <w:proofErr w:type="gramStart"/>
            <w:r>
              <w:rPr>
                <w:i/>
                <w:color w:val="000000"/>
                <w:sz w:val="22"/>
                <w:szCs w:val="22"/>
              </w:rPr>
              <w:t>spending</w:t>
            </w:r>
            <w:proofErr w:type="gramEnd"/>
          </w:p>
          <w:p w14:paraId="43EAF84B" w14:textId="77777777" w:rsidR="004814D8" w:rsidRDefault="004814D8">
            <w:pPr>
              <w:pBdr>
                <w:top w:val="nil"/>
                <w:left w:val="nil"/>
                <w:bottom w:val="nil"/>
                <w:right w:val="nil"/>
                <w:between w:val="nil"/>
              </w:pBdr>
              <w:rPr>
                <w:color w:val="000000"/>
                <w:sz w:val="22"/>
                <w:szCs w:val="22"/>
              </w:rPr>
            </w:pPr>
          </w:p>
        </w:tc>
        <w:tc>
          <w:tcPr>
            <w:tcW w:w="1890" w:type="dxa"/>
          </w:tcPr>
          <w:p w14:paraId="284424AC" w14:textId="77777777" w:rsidR="004814D8" w:rsidRDefault="00000000">
            <w:pPr>
              <w:pBdr>
                <w:top w:val="nil"/>
                <w:left w:val="nil"/>
                <w:bottom w:val="nil"/>
                <w:right w:val="nil"/>
                <w:between w:val="nil"/>
              </w:pBdr>
              <w:rPr>
                <w:color w:val="000000"/>
                <w:sz w:val="22"/>
                <w:szCs w:val="22"/>
              </w:rPr>
            </w:pPr>
            <w:r>
              <w:rPr>
                <w:color w:val="000000"/>
                <w:sz w:val="22"/>
                <w:szCs w:val="22"/>
              </w:rPr>
              <w:t xml:space="preserve">Funds (restricted or board-designated) to be available when needed for planned spending associated with BGCCC’s facilities. </w:t>
            </w:r>
          </w:p>
          <w:p w14:paraId="593FA2A4" w14:textId="77777777" w:rsidR="004814D8" w:rsidRDefault="004814D8">
            <w:pPr>
              <w:pBdr>
                <w:top w:val="nil"/>
                <w:left w:val="nil"/>
                <w:bottom w:val="nil"/>
                <w:right w:val="nil"/>
                <w:between w:val="nil"/>
              </w:pBdr>
              <w:rPr>
                <w:color w:val="000000"/>
                <w:sz w:val="22"/>
                <w:szCs w:val="22"/>
              </w:rPr>
            </w:pPr>
          </w:p>
        </w:tc>
        <w:tc>
          <w:tcPr>
            <w:tcW w:w="1890" w:type="dxa"/>
          </w:tcPr>
          <w:p w14:paraId="794F4458" w14:textId="77777777" w:rsidR="004814D8" w:rsidRDefault="00000000">
            <w:pPr>
              <w:rPr>
                <w:color w:val="000000"/>
                <w:sz w:val="22"/>
                <w:szCs w:val="22"/>
              </w:rPr>
            </w:pPr>
            <w:r>
              <w:rPr>
                <w:color w:val="000000"/>
                <w:sz w:val="22"/>
                <w:szCs w:val="22"/>
              </w:rPr>
              <w:t xml:space="preserve">50% of the average 10-year capital improvement plan to ensure critical projects have funding to proceed. </w:t>
            </w:r>
          </w:p>
          <w:p w14:paraId="535BA971" w14:textId="2D93E5C5" w:rsidR="004814D8" w:rsidRDefault="00000000">
            <w:pPr>
              <w:rPr>
                <w:color w:val="000000"/>
                <w:sz w:val="22"/>
                <w:szCs w:val="22"/>
              </w:rPr>
            </w:pPr>
            <w:r>
              <w:rPr>
                <w:color w:val="000000"/>
                <w:sz w:val="22"/>
                <w:szCs w:val="22"/>
              </w:rPr>
              <w:t xml:space="preserve">In addition, subcategories may be established for major one-time acquisitions or construction projects. </w:t>
            </w:r>
          </w:p>
        </w:tc>
        <w:tc>
          <w:tcPr>
            <w:tcW w:w="1890" w:type="dxa"/>
          </w:tcPr>
          <w:p w14:paraId="7E804052" w14:textId="77777777" w:rsidR="004814D8" w:rsidRDefault="00000000">
            <w:pPr>
              <w:rPr>
                <w:color w:val="000000"/>
                <w:sz w:val="22"/>
                <w:szCs w:val="22"/>
              </w:rPr>
            </w:pPr>
            <w:r>
              <w:rPr>
                <w:color w:val="000000"/>
                <w:sz w:val="22"/>
                <w:szCs w:val="22"/>
              </w:rPr>
              <w:t>FDIC insured accounts:</w:t>
            </w:r>
          </w:p>
          <w:p w14:paraId="193075B0" w14:textId="77777777" w:rsidR="004814D8" w:rsidRDefault="00000000">
            <w:pPr>
              <w:numPr>
                <w:ilvl w:val="0"/>
                <w:numId w:val="6"/>
              </w:numPr>
              <w:ind w:left="211" w:hanging="180"/>
              <w:rPr>
                <w:color w:val="000000"/>
                <w:sz w:val="22"/>
                <w:szCs w:val="22"/>
              </w:rPr>
            </w:pPr>
            <w:r>
              <w:rPr>
                <w:color w:val="000000"/>
                <w:sz w:val="22"/>
                <w:szCs w:val="22"/>
              </w:rPr>
              <w:t>Business checking account</w:t>
            </w:r>
          </w:p>
          <w:p w14:paraId="731FA9FD" w14:textId="77777777" w:rsidR="004814D8" w:rsidRDefault="00000000">
            <w:pPr>
              <w:numPr>
                <w:ilvl w:val="0"/>
                <w:numId w:val="6"/>
              </w:numPr>
              <w:ind w:left="211" w:hanging="180"/>
              <w:rPr>
                <w:color w:val="000000"/>
                <w:sz w:val="22"/>
                <w:szCs w:val="22"/>
              </w:rPr>
            </w:pPr>
            <w:r>
              <w:rPr>
                <w:color w:val="000000"/>
                <w:sz w:val="22"/>
                <w:szCs w:val="22"/>
              </w:rPr>
              <w:t xml:space="preserve">Savings or sweep </w:t>
            </w:r>
            <w:proofErr w:type="gramStart"/>
            <w:r>
              <w:rPr>
                <w:color w:val="000000"/>
                <w:sz w:val="22"/>
                <w:szCs w:val="22"/>
              </w:rPr>
              <w:t>account</w:t>
            </w:r>
            <w:proofErr w:type="gramEnd"/>
          </w:p>
          <w:p w14:paraId="20C952F0" w14:textId="77777777" w:rsidR="004814D8" w:rsidRDefault="00000000">
            <w:pPr>
              <w:numPr>
                <w:ilvl w:val="0"/>
                <w:numId w:val="6"/>
              </w:numPr>
              <w:ind w:left="211" w:hanging="180"/>
              <w:rPr>
                <w:color w:val="000000"/>
                <w:sz w:val="22"/>
                <w:szCs w:val="22"/>
              </w:rPr>
            </w:pPr>
            <w:r>
              <w:rPr>
                <w:color w:val="000000"/>
                <w:sz w:val="22"/>
                <w:szCs w:val="22"/>
              </w:rPr>
              <w:t>Money market account</w:t>
            </w:r>
          </w:p>
          <w:p w14:paraId="667F76C2" w14:textId="77777777" w:rsidR="004814D8" w:rsidRDefault="00000000">
            <w:pPr>
              <w:numPr>
                <w:ilvl w:val="0"/>
                <w:numId w:val="6"/>
              </w:numPr>
              <w:ind w:left="211" w:hanging="180"/>
              <w:rPr>
                <w:color w:val="000000"/>
                <w:sz w:val="22"/>
                <w:szCs w:val="22"/>
              </w:rPr>
            </w:pPr>
            <w:r>
              <w:rPr>
                <w:color w:val="000000"/>
                <w:sz w:val="22"/>
                <w:szCs w:val="22"/>
              </w:rPr>
              <w:t>Certificates of Deposit</w:t>
            </w:r>
          </w:p>
          <w:p w14:paraId="42FBEBCF" w14:textId="77777777" w:rsidR="004814D8" w:rsidRDefault="004814D8">
            <w:pPr>
              <w:ind w:left="211"/>
              <w:rPr>
                <w:color w:val="000000"/>
                <w:sz w:val="22"/>
                <w:szCs w:val="22"/>
              </w:rPr>
            </w:pPr>
          </w:p>
          <w:p w14:paraId="55923D4A" w14:textId="77777777" w:rsidR="004814D8" w:rsidRDefault="00000000">
            <w:pPr>
              <w:ind w:left="31"/>
              <w:rPr>
                <w:color w:val="000000"/>
                <w:sz w:val="22"/>
                <w:szCs w:val="22"/>
              </w:rPr>
            </w:pPr>
            <w:r>
              <w:rPr>
                <w:color w:val="000000"/>
                <w:sz w:val="22"/>
                <w:szCs w:val="22"/>
              </w:rPr>
              <w:t>US Treasury Instruments</w:t>
            </w:r>
          </w:p>
        </w:tc>
        <w:tc>
          <w:tcPr>
            <w:tcW w:w="1890" w:type="dxa"/>
          </w:tcPr>
          <w:p w14:paraId="66461899" w14:textId="77777777" w:rsidR="004814D8" w:rsidRDefault="00000000">
            <w:pPr>
              <w:rPr>
                <w:color w:val="000000"/>
                <w:sz w:val="22"/>
                <w:szCs w:val="22"/>
              </w:rPr>
            </w:pPr>
            <w:r>
              <w:rPr>
                <w:sz w:val="22"/>
                <w:szCs w:val="22"/>
              </w:rPr>
              <w:t>Can be spent on capital expenditures for building acquisition or construction, improvements, furnishings, debt service and other ancillary costs directly associated with club facilities and is generally approved in the annual budget.</w:t>
            </w:r>
          </w:p>
        </w:tc>
      </w:tr>
      <w:tr w:rsidR="004814D8" w14:paraId="74F19794" w14:textId="77777777">
        <w:tc>
          <w:tcPr>
            <w:tcW w:w="1890" w:type="dxa"/>
          </w:tcPr>
          <w:p w14:paraId="3BC31FC5" w14:textId="77777777" w:rsidR="004814D8" w:rsidRDefault="00000000">
            <w:pPr>
              <w:pBdr>
                <w:top w:val="nil"/>
                <w:left w:val="nil"/>
                <w:bottom w:val="nil"/>
                <w:right w:val="nil"/>
                <w:between w:val="nil"/>
              </w:pBdr>
              <w:rPr>
                <w:color w:val="000000"/>
                <w:sz w:val="22"/>
                <w:szCs w:val="22"/>
              </w:rPr>
            </w:pPr>
            <w:r>
              <w:rPr>
                <w:b/>
                <w:color w:val="000000"/>
                <w:sz w:val="22"/>
                <w:szCs w:val="22"/>
              </w:rPr>
              <w:lastRenderedPageBreak/>
              <w:t>Scholarship Fund</w:t>
            </w:r>
          </w:p>
          <w:p w14:paraId="47A6912C" w14:textId="77777777" w:rsidR="004814D8" w:rsidRDefault="004814D8">
            <w:pPr>
              <w:pBdr>
                <w:top w:val="nil"/>
                <w:left w:val="nil"/>
                <w:bottom w:val="nil"/>
                <w:right w:val="nil"/>
                <w:between w:val="nil"/>
              </w:pBdr>
              <w:rPr>
                <w:color w:val="000000"/>
                <w:sz w:val="22"/>
                <w:szCs w:val="22"/>
              </w:rPr>
            </w:pPr>
          </w:p>
          <w:p w14:paraId="5C1C1F32" w14:textId="77777777" w:rsidR="004814D8" w:rsidRDefault="00000000">
            <w:pPr>
              <w:pBdr>
                <w:top w:val="nil"/>
                <w:left w:val="nil"/>
                <w:bottom w:val="nil"/>
                <w:right w:val="nil"/>
                <w:between w:val="nil"/>
              </w:pBdr>
              <w:rPr>
                <w:color w:val="000000"/>
                <w:sz w:val="22"/>
                <w:szCs w:val="22"/>
              </w:rPr>
            </w:pPr>
            <w:r>
              <w:rPr>
                <w:i/>
                <w:color w:val="000000"/>
                <w:sz w:val="22"/>
                <w:szCs w:val="22"/>
              </w:rPr>
              <w:t>Time horizon will vary depending upon the balance remaining in this Fund and the active scholarships awarded</w:t>
            </w:r>
          </w:p>
        </w:tc>
        <w:tc>
          <w:tcPr>
            <w:tcW w:w="1890" w:type="dxa"/>
          </w:tcPr>
          <w:p w14:paraId="3DE5B5AE" w14:textId="77777777" w:rsidR="004814D8" w:rsidRDefault="00000000">
            <w:pPr>
              <w:pBdr>
                <w:top w:val="nil"/>
                <w:left w:val="nil"/>
                <w:bottom w:val="nil"/>
                <w:right w:val="nil"/>
                <w:between w:val="nil"/>
              </w:pBdr>
              <w:rPr>
                <w:color w:val="000000"/>
                <w:sz w:val="22"/>
                <w:szCs w:val="22"/>
              </w:rPr>
            </w:pPr>
            <w:r>
              <w:rPr>
                <w:color w:val="000000"/>
                <w:sz w:val="22"/>
                <w:szCs w:val="22"/>
              </w:rPr>
              <w:t>Capital preservation and liquidity as needed to pay scholarships awarded in accordance with the donor Memorandum of Understanding or other specific donor instruction.</w:t>
            </w:r>
          </w:p>
          <w:p w14:paraId="307798FF" w14:textId="77777777" w:rsidR="004814D8" w:rsidRDefault="004814D8">
            <w:pPr>
              <w:pBdr>
                <w:top w:val="nil"/>
                <w:left w:val="nil"/>
                <w:bottom w:val="nil"/>
                <w:right w:val="nil"/>
                <w:between w:val="nil"/>
              </w:pBdr>
              <w:rPr>
                <w:color w:val="000000"/>
                <w:sz w:val="22"/>
                <w:szCs w:val="22"/>
              </w:rPr>
            </w:pPr>
          </w:p>
        </w:tc>
        <w:tc>
          <w:tcPr>
            <w:tcW w:w="1890" w:type="dxa"/>
          </w:tcPr>
          <w:p w14:paraId="77353EBB" w14:textId="77777777" w:rsidR="004814D8" w:rsidRDefault="00000000">
            <w:pPr>
              <w:pBdr>
                <w:top w:val="nil"/>
                <w:left w:val="nil"/>
                <w:bottom w:val="nil"/>
                <w:right w:val="nil"/>
                <w:between w:val="nil"/>
              </w:pBdr>
              <w:rPr>
                <w:color w:val="000000"/>
                <w:sz w:val="22"/>
                <w:szCs w:val="22"/>
              </w:rPr>
            </w:pPr>
            <w:r>
              <w:rPr>
                <w:color w:val="000000"/>
                <w:sz w:val="22"/>
                <w:szCs w:val="22"/>
              </w:rPr>
              <w:t xml:space="preserve">No </w:t>
            </w:r>
            <w:proofErr w:type="gramStart"/>
            <w:r>
              <w:rPr>
                <w:color w:val="000000"/>
                <w:sz w:val="22"/>
                <w:szCs w:val="22"/>
              </w:rPr>
              <w:t>requirement;</w:t>
            </w:r>
            <w:proofErr w:type="gramEnd"/>
            <w:r>
              <w:rPr>
                <w:color w:val="000000"/>
                <w:sz w:val="22"/>
                <w:szCs w:val="22"/>
              </w:rPr>
              <w:t xml:space="preserve"> balance equals undisbursed restricted funds.</w:t>
            </w:r>
          </w:p>
        </w:tc>
        <w:tc>
          <w:tcPr>
            <w:tcW w:w="1890" w:type="dxa"/>
          </w:tcPr>
          <w:p w14:paraId="50B492CE" w14:textId="77777777" w:rsidR="004814D8" w:rsidRDefault="00000000">
            <w:pPr>
              <w:rPr>
                <w:color w:val="000000"/>
                <w:sz w:val="22"/>
                <w:szCs w:val="22"/>
              </w:rPr>
            </w:pPr>
            <w:r>
              <w:rPr>
                <w:color w:val="000000"/>
                <w:sz w:val="22"/>
                <w:szCs w:val="22"/>
              </w:rPr>
              <w:t>FDIC insured accounts:</w:t>
            </w:r>
          </w:p>
          <w:p w14:paraId="3A70C0E1" w14:textId="77777777" w:rsidR="004814D8" w:rsidRDefault="00000000">
            <w:pPr>
              <w:numPr>
                <w:ilvl w:val="0"/>
                <w:numId w:val="6"/>
              </w:numPr>
              <w:ind w:left="211" w:hanging="180"/>
              <w:rPr>
                <w:color w:val="000000"/>
                <w:sz w:val="22"/>
                <w:szCs w:val="22"/>
              </w:rPr>
            </w:pPr>
            <w:r>
              <w:rPr>
                <w:color w:val="000000"/>
                <w:sz w:val="22"/>
                <w:szCs w:val="22"/>
              </w:rPr>
              <w:t>Business checking account</w:t>
            </w:r>
          </w:p>
          <w:p w14:paraId="12A43BA0" w14:textId="77777777" w:rsidR="004814D8" w:rsidRDefault="00000000">
            <w:pPr>
              <w:numPr>
                <w:ilvl w:val="0"/>
                <w:numId w:val="6"/>
              </w:numPr>
              <w:ind w:left="211" w:hanging="180"/>
              <w:rPr>
                <w:color w:val="000000"/>
                <w:sz w:val="22"/>
                <w:szCs w:val="22"/>
              </w:rPr>
            </w:pPr>
            <w:r>
              <w:rPr>
                <w:color w:val="000000"/>
                <w:sz w:val="22"/>
                <w:szCs w:val="22"/>
              </w:rPr>
              <w:t xml:space="preserve">Savings or sweep </w:t>
            </w:r>
            <w:proofErr w:type="gramStart"/>
            <w:r>
              <w:rPr>
                <w:color w:val="000000"/>
                <w:sz w:val="22"/>
                <w:szCs w:val="22"/>
              </w:rPr>
              <w:t>account</w:t>
            </w:r>
            <w:proofErr w:type="gramEnd"/>
          </w:p>
          <w:p w14:paraId="41903255" w14:textId="77777777" w:rsidR="004814D8" w:rsidRDefault="00000000">
            <w:pPr>
              <w:numPr>
                <w:ilvl w:val="0"/>
                <w:numId w:val="6"/>
              </w:numPr>
              <w:ind w:left="211" w:hanging="180"/>
              <w:rPr>
                <w:color w:val="000000"/>
                <w:sz w:val="22"/>
                <w:szCs w:val="22"/>
              </w:rPr>
            </w:pPr>
            <w:r>
              <w:rPr>
                <w:color w:val="000000"/>
                <w:sz w:val="22"/>
                <w:szCs w:val="22"/>
              </w:rPr>
              <w:t>Money market account</w:t>
            </w:r>
          </w:p>
          <w:p w14:paraId="53E7AC1D" w14:textId="77777777" w:rsidR="004814D8" w:rsidRDefault="00000000">
            <w:pPr>
              <w:numPr>
                <w:ilvl w:val="0"/>
                <w:numId w:val="6"/>
              </w:numPr>
              <w:ind w:left="211" w:hanging="180"/>
              <w:rPr>
                <w:color w:val="000000"/>
                <w:sz w:val="22"/>
                <w:szCs w:val="22"/>
              </w:rPr>
            </w:pPr>
            <w:r>
              <w:rPr>
                <w:color w:val="000000"/>
                <w:sz w:val="22"/>
                <w:szCs w:val="22"/>
              </w:rPr>
              <w:t>Certificates of Deposit</w:t>
            </w:r>
          </w:p>
          <w:p w14:paraId="79C2A814" w14:textId="77777777" w:rsidR="004814D8" w:rsidRDefault="004814D8">
            <w:pPr>
              <w:rPr>
                <w:color w:val="000000"/>
                <w:sz w:val="22"/>
                <w:szCs w:val="22"/>
              </w:rPr>
            </w:pPr>
          </w:p>
        </w:tc>
        <w:tc>
          <w:tcPr>
            <w:tcW w:w="1890" w:type="dxa"/>
          </w:tcPr>
          <w:p w14:paraId="3BB6F569" w14:textId="77777777" w:rsidR="004814D8" w:rsidRDefault="00000000">
            <w:pPr>
              <w:rPr>
                <w:color w:val="000000"/>
                <w:sz w:val="22"/>
                <w:szCs w:val="22"/>
              </w:rPr>
            </w:pPr>
            <w:r>
              <w:rPr>
                <w:sz w:val="22"/>
                <w:szCs w:val="22"/>
              </w:rPr>
              <w:t xml:space="preserve">Initiated with donor restricted funds received in 2019, this money is scheduled for disbursement to each recipient of a four-year educational scholarship. </w:t>
            </w:r>
          </w:p>
        </w:tc>
      </w:tr>
      <w:tr w:rsidR="004814D8" w14:paraId="3DA23218" w14:textId="77777777">
        <w:tc>
          <w:tcPr>
            <w:tcW w:w="1890" w:type="dxa"/>
          </w:tcPr>
          <w:p w14:paraId="7351122E" w14:textId="77777777" w:rsidR="004814D8" w:rsidRDefault="00000000">
            <w:pPr>
              <w:pBdr>
                <w:top w:val="nil"/>
                <w:left w:val="nil"/>
                <w:bottom w:val="nil"/>
                <w:right w:val="nil"/>
                <w:between w:val="nil"/>
              </w:pBdr>
              <w:rPr>
                <w:color w:val="000000"/>
                <w:sz w:val="22"/>
                <w:szCs w:val="22"/>
              </w:rPr>
            </w:pPr>
            <w:r>
              <w:rPr>
                <w:b/>
                <w:color w:val="000000"/>
                <w:sz w:val="22"/>
                <w:szCs w:val="22"/>
              </w:rPr>
              <w:t>Endowment</w:t>
            </w:r>
          </w:p>
          <w:p w14:paraId="08337403" w14:textId="77777777" w:rsidR="004814D8" w:rsidRDefault="004814D8">
            <w:pPr>
              <w:pBdr>
                <w:top w:val="nil"/>
                <w:left w:val="nil"/>
                <w:bottom w:val="nil"/>
                <w:right w:val="nil"/>
                <w:between w:val="nil"/>
              </w:pBdr>
              <w:rPr>
                <w:color w:val="000000"/>
                <w:sz w:val="22"/>
                <w:szCs w:val="22"/>
              </w:rPr>
            </w:pPr>
          </w:p>
          <w:p w14:paraId="38F64FF6" w14:textId="77777777" w:rsidR="004814D8" w:rsidRDefault="00000000">
            <w:pPr>
              <w:pBdr>
                <w:top w:val="nil"/>
                <w:left w:val="nil"/>
                <w:bottom w:val="nil"/>
                <w:right w:val="nil"/>
                <w:between w:val="nil"/>
              </w:pBdr>
              <w:rPr>
                <w:color w:val="000000"/>
                <w:sz w:val="22"/>
                <w:szCs w:val="22"/>
              </w:rPr>
            </w:pPr>
            <w:r>
              <w:rPr>
                <w:b/>
                <w:color w:val="000000"/>
                <w:sz w:val="22"/>
                <w:szCs w:val="22"/>
              </w:rPr>
              <w:t>(Donor-restricted and Board-designated Quasi-Endowment</w:t>
            </w:r>
          </w:p>
          <w:p w14:paraId="5C666509" w14:textId="77777777" w:rsidR="004814D8" w:rsidRDefault="00000000">
            <w:pPr>
              <w:pBdr>
                <w:top w:val="nil"/>
                <w:left w:val="nil"/>
                <w:bottom w:val="nil"/>
                <w:right w:val="nil"/>
                <w:between w:val="nil"/>
              </w:pBdr>
              <w:rPr>
                <w:color w:val="000000"/>
                <w:sz w:val="22"/>
                <w:szCs w:val="22"/>
              </w:rPr>
            </w:pPr>
            <w:r>
              <w:rPr>
                <w:b/>
                <w:color w:val="000000"/>
                <w:sz w:val="22"/>
                <w:szCs w:val="22"/>
              </w:rPr>
              <w:t xml:space="preserve">managed as one Fund) </w:t>
            </w:r>
          </w:p>
          <w:p w14:paraId="5F3EEDD9" w14:textId="77777777" w:rsidR="004814D8" w:rsidRDefault="004814D8">
            <w:pPr>
              <w:pBdr>
                <w:top w:val="nil"/>
                <w:left w:val="nil"/>
                <w:bottom w:val="nil"/>
                <w:right w:val="nil"/>
                <w:between w:val="nil"/>
              </w:pBdr>
              <w:rPr>
                <w:color w:val="000000"/>
                <w:sz w:val="22"/>
                <w:szCs w:val="22"/>
              </w:rPr>
            </w:pPr>
          </w:p>
          <w:p w14:paraId="0C378709" w14:textId="77777777" w:rsidR="004814D8" w:rsidRDefault="00000000">
            <w:pPr>
              <w:pBdr>
                <w:top w:val="nil"/>
                <w:left w:val="nil"/>
                <w:bottom w:val="nil"/>
                <w:right w:val="nil"/>
                <w:between w:val="nil"/>
              </w:pBdr>
              <w:rPr>
                <w:color w:val="000000"/>
                <w:sz w:val="22"/>
                <w:szCs w:val="22"/>
              </w:rPr>
            </w:pPr>
            <w:r>
              <w:rPr>
                <w:i/>
                <w:color w:val="000000"/>
                <w:sz w:val="22"/>
                <w:szCs w:val="22"/>
              </w:rPr>
              <w:t xml:space="preserve">Long term time horizon to be maintained in </w:t>
            </w:r>
            <w:proofErr w:type="gramStart"/>
            <w:r>
              <w:rPr>
                <w:i/>
                <w:color w:val="000000"/>
                <w:sz w:val="22"/>
                <w:szCs w:val="22"/>
              </w:rPr>
              <w:t>perpetuity</w:t>
            </w:r>
            <w:proofErr w:type="gramEnd"/>
          </w:p>
          <w:p w14:paraId="494418A5" w14:textId="77777777" w:rsidR="004814D8" w:rsidRDefault="004814D8">
            <w:pPr>
              <w:pBdr>
                <w:top w:val="nil"/>
                <w:left w:val="nil"/>
                <w:bottom w:val="nil"/>
                <w:right w:val="nil"/>
                <w:between w:val="nil"/>
              </w:pBdr>
              <w:rPr>
                <w:color w:val="000000"/>
                <w:sz w:val="22"/>
                <w:szCs w:val="22"/>
              </w:rPr>
            </w:pPr>
          </w:p>
        </w:tc>
        <w:tc>
          <w:tcPr>
            <w:tcW w:w="1890" w:type="dxa"/>
          </w:tcPr>
          <w:p w14:paraId="54724A81" w14:textId="77777777" w:rsidR="004814D8" w:rsidRDefault="00000000">
            <w:pPr>
              <w:rPr>
                <w:sz w:val="22"/>
                <w:szCs w:val="22"/>
              </w:rPr>
            </w:pPr>
            <w:r>
              <w:rPr>
                <w:sz w:val="22"/>
                <w:szCs w:val="22"/>
              </w:rPr>
              <w:t>A perpetual fund intended to generate a supplemental source of income to support operations and capital needs beyond what is possible through its annual operating budget.</w:t>
            </w:r>
          </w:p>
        </w:tc>
        <w:tc>
          <w:tcPr>
            <w:tcW w:w="1890" w:type="dxa"/>
          </w:tcPr>
          <w:p w14:paraId="3FA12B87" w14:textId="77777777" w:rsidR="004814D8" w:rsidRDefault="00000000">
            <w:pPr>
              <w:pBdr>
                <w:top w:val="nil"/>
                <w:left w:val="nil"/>
                <w:bottom w:val="nil"/>
                <w:right w:val="nil"/>
                <w:between w:val="nil"/>
              </w:pBdr>
              <w:rPr>
                <w:color w:val="000000"/>
                <w:sz w:val="22"/>
                <w:szCs w:val="22"/>
              </w:rPr>
            </w:pPr>
            <w:proofErr w:type="gramStart"/>
            <w:r>
              <w:rPr>
                <w:color w:val="000000"/>
                <w:sz w:val="22"/>
                <w:szCs w:val="22"/>
              </w:rPr>
              <w:t>Goal</w:t>
            </w:r>
            <w:proofErr w:type="gramEnd"/>
            <w:r>
              <w:rPr>
                <w:color w:val="000000"/>
                <w:sz w:val="22"/>
                <w:szCs w:val="22"/>
              </w:rPr>
              <w:t xml:space="preserve"> is to maintain a balance equal to two times the annual operating budget.</w:t>
            </w:r>
          </w:p>
          <w:p w14:paraId="250FACC4" w14:textId="77777777" w:rsidR="004814D8" w:rsidRDefault="004814D8">
            <w:pPr>
              <w:rPr>
                <w:color w:val="000000"/>
                <w:sz w:val="22"/>
                <w:szCs w:val="22"/>
              </w:rPr>
            </w:pPr>
          </w:p>
        </w:tc>
        <w:tc>
          <w:tcPr>
            <w:tcW w:w="1890" w:type="dxa"/>
          </w:tcPr>
          <w:p w14:paraId="6563A30F" w14:textId="77777777" w:rsidR="004814D8" w:rsidRDefault="00000000">
            <w:pPr>
              <w:rPr>
                <w:color w:val="000000"/>
                <w:sz w:val="22"/>
                <w:szCs w:val="22"/>
              </w:rPr>
            </w:pPr>
            <w:r>
              <w:rPr>
                <w:color w:val="000000"/>
                <w:sz w:val="22"/>
                <w:szCs w:val="22"/>
              </w:rPr>
              <w:t>FDIC insured accounts:</w:t>
            </w:r>
          </w:p>
          <w:p w14:paraId="3A7357B5" w14:textId="77777777" w:rsidR="004814D8" w:rsidRDefault="00000000">
            <w:pPr>
              <w:numPr>
                <w:ilvl w:val="0"/>
                <w:numId w:val="6"/>
              </w:numPr>
              <w:ind w:left="211" w:hanging="180"/>
              <w:rPr>
                <w:color w:val="000000"/>
                <w:sz w:val="22"/>
                <w:szCs w:val="22"/>
              </w:rPr>
            </w:pPr>
            <w:r>
              <w:rPr>
                <w:color w:val="000000"/>
                <w:sz w:val="22"/>
                <w:szCs w:val="22"/>
              </w:rPr>
              <w:t>Savings account</w:t>
            </w:r>
          </w:p>
          <w:p w14:paraId="75F88BC0" w14:textId="77777777" w:rsidR="004814D8" w:rsidRDefault="00000000">
            <w:pPr>
              <w:numPr>
                <w:ilvl w:val="0"/>
                <w:numId w:val="6"/>
              </w:numPr>
              <w:ind w:left="211" w:hanging="180"/>
              <w:rPr>
                <w:color w:val="000000"/>
                <w:sz w:val="22"/>
                <w:szCs w:val="22"/>
              </w:rPr>
            </w:pPr>
            <w:r>
              <w:rPr>
                <w:color w:val="000000"/>
                <w:sz w:val="22"/>
                <w:szCs w:val="22"/>
              </w:rPr>
              <w:t>Money market account</w:t>
            </w:r>
          </w:p>
          <w:p w14:paraId="5B162C26" w14:textId="77777777" w:rsidR="004814D8" w:rsidRDefault="00000000">
            <w:pPr>
              <w:numPr>
                <w:ilvl w:val="0"/>
                <w:numId w:val="6"/>
              </w:numPr>
              <w:ind w:left="211" w:hanging="180"/>
              <w:rPr>
                <w:color w:val="000000"/>
                <w:sz w:val="22"/>
                <w:szCs w:val="22"/>
              </w:rPr>
            </w:pPr>
            <w:r>
              <w:rPr>
                <w:color w:val="000000"/>
                <w:sz w:val="22"/>
                <w:szCs w:val="22"/>
              </w:rPr>
              <w:t>Certificates of Deposit</w:t>
            </w:r>
          </w:p>
          <w:p w14:paraId="7CA8A11E" w14:textId="77777777" w:rsidR="004814D8" w:rsidRDefault="004814D8">
            <w:pPr>
              <w:rPr>
                <w:sz w:val="22"/>
                <w:szCs w:val="22"/>
              </w:rPr>
            </w:pPr>
          </w:p>
          <w:p w14:paraId="6C39EAA4" w14:textId="77777777" w:rsidR="004814D8" w:rsidRDefault="00000000">
            <w:pPr>
              <w:rPr>
                <w:sz w:val="22"/>
                <w:szCs w:val="22"/>
              </w:rPr>
            </w:pPr>
            <w:r>
              <w:rPr>
                <w:color w:val="000000"/>
                <w:sz w:val="22"/>
                <w:szCs w:val="22"/>
              </w:rPr>
              <w:t>US Treasury Instruments</w:t>
            </w:r>
          </w:p>
          <w:p w14:paraId="04EB8167" w14:textId="77777777" w:rsidR="004814D8" w:rsidRDefault="004814D8">
            <w:pPr>
              <w:rPr>
                <w:sz w:val="22"/>
                <w:szCs w:val="22"/>
              </w:rPr>
            </w:pPr>
          </w:p>
          <w:p w14:paraId="59D00E94" w14:textId="77777777" w:rsidR="004814D8" w:rsidRDefault="00000000">
            <w:pPr>
              <w:rPr>
                <w:color w:val="000000"/>
                <w:sz w:val="22"/>
                <w:szCs w:val="22"/>
              </w:rPr>
            </w:pPr>
            <w:r>
              <w:rPr>
                <w:color w:val="000000"/>
                <w:sz w:val="22"/>
                <w:szCs w:val="22"/>
              </w:rPr>
              <w:t xml:space="preserve">Publicly traded mutual funds, </w:t>
            </w:r>
            <w:proofErr w:type="gramStart"/>
            <w:r>
              <w:rPr>
                <w:color w:val="000000"/>
                <w:sz w:val="22"/>
                <w:szCs w:val="22"/>
              </w:rPr>
              <w:t>ETFs</w:t>
            </w:r>
            <w:proofErr w:type="gramEnd"/>
          </w:p>
          <w:p w14:paraId="1DCC2C85" w14:textId="77777777" w:rsidR="004814D8" w:rsidRDefault="004814D8">
            <w:pPr>
              <w:rPr>
                <w:color w:val="000000"/>
                <w:sz w:val="22"/>
                <w:szCs w:val="22"/>
              </w:rPr>
            </w:pPr>
          </w:p>
          <w:p w14:paraId="3CD49B3F" w14:textId="77777777" w:rsidR="004814D8" w:rsidRDefault="00000000">
            <w:pPr>
              <w:rPr>
                <w:color w:val="000000"/>
                <w:sz w:val="22"/>
                <w:szCs w:val="22"/>
              </w:rPr>
            </w:pPr>
            <w:r>
              <w:rPr>
                <w:color w:val="000000"/>
                <w:sz w:val="22"/>
                <w:szCs w:val="22"/>
              </w:rPr>
              <w:t>Other assets (by specific approval by the Board)</w:t>
            </w:r>
          </w:p>
        </w:tc>
        <w:tc>
          <w:tcPr>
            <w:tcW w:w="1890" w:type="dxa"/>
          </w:tcPr>
          <w:p w14:paraId="43548AD1" w14:textId="77777777" w:rsidR="004814D8" w:rsidRDefault="00000000">
            <w:pPr>
              <w:rPr>
                <w:sz w:val="22"/>
                <w:szCs w:val="22"/>
              </w:rPr>
            </w:pPr>
            <w:r>
              <w:rPr>
                <w:sz w:val="22"/>
                <w:szCs w:val="22"/>
              </w:rPr>
              <w:t>Allowable annual spending is 4% of the Fund’s average fair market value as of the prior three BGCCC fiscal year ends.</w:t>
            </w:r>
          </w:p>
          <w:p w14:paraId="1D5E3FFB" w14:textId="77777777" w:rsidR="004814D8" w:rsidRDefault="004814D8">
            <w:pPr>
              <w:rPr>
                <w:sz w:val="22"/>
                <w:szCs w:val="22"/>
              </w:rPr>
            </w:pPr>
          </w:p>
          <w:p w14:paraId="43C941AC" w14:textId="77777777" w:rsidR="004814D8" w:rsidRDefault="00000000">
            <w:pPr>
              <w:rPr>
                <w:sz w:val="22"/>
                <w:szCs w:val="22"/>
              </w:rPr>
            </w:pPr>
            <w:r>
              <w:rPr>
                <w:sz w:val="22"/>
                <w:szCs w:val="22"/>
              </w:rPr>
              <w:t>Distributions are limited to the following purposes:</w:t>
            </w:r>
          </w:p>
          <w:p w14:paraId="1AE933E3" w14:textId="77777777" w:rsidR="004814D8" w:rsidRDefault="00000000">
            <w:pPr>
              <w:numPr>
                <w:ilvl w:val="0"/>
                <w:numId w:val="7"/>
              </w:numPr>
              <w:ind w:left="256" w:hanging="270"/>
              <w:rPr>
                <w:sz w:val="22"/>
                <w:szCs w:val="22"/>
              </w:rPr>
            </w:pPr>
            <w:r>
              <w:rPr>
                <w:sz w:val="22"/>
                <w:szCs w:val="22"/>
              </w:rPr>
              <w:t xml:space="preserve">Capital </w:t>
            </w:r>
            <w:proofErr w:type="gramStart"/>
            <w:r>
              <w:rPr>
                <w:sz w:val="22"/>
                <w:szCs w:val="22"/>
              </w:rPr>
              <w:t>needs</w:t>
            </w:r>
            <w:proofErr w:type="gramEnd"/>
          </w:p>
          <w:p w14:paraId="7F783B1E" w14:textId="77777777" w:rsidR="004814D8" w:rsidRDefault="00000000">
            <w:pPr>
              <w:numPr>
                <w:ilvl w:val="0"/>
                <w:numId w:val="7"/>
              </w:numPr>
              <w:ind w:left="256" w:hanging="270"/>
              <w:rPr>
                <w:sz w:val="22"/>
                <w:szCs w:val="22"/>
              </w:rPr>
            </w:pPr>
            <w:r>
              <w:rPr>
                <w:sz w:val="22"/>
                <w:szCs w:val="22"/>
              </w:rPr>
              <w:t>Program support</w:t>
            </w:r>
          </w:p>
          <w:p w14:paraId="4280DBD2" w14:textId="77777777" w:rsidR="004814D8" w:rsidRDefault="00000000">
            <w:pPr>
              <w:numPr>
                <w:ilvl w:val="0"/>
                <w:numId w:val="7"/>
              </w:numPr>
              <w:ind w:left="256" w:hanging="270"/>
              <w:rPr>
                <w:sz w:val="22"/>
                <w:szCs w:val="22"/>
              </w:rPr>
            </w:pPr>
            <w:r>
              <w:rPr>
                <w:sz w:val="22"/>
                <w:szCs w:val="22"/>
              </w:rPr>
              <w:t xml:space="preserve">Seed money to develop new projects and </w:t>
            </w:r>
            <w:proofErr w:type="gramStart"/>
            <w:r>
              <w:rPr>
                <w:sz w:val="22"/>
                <w:szCs w:val="22"/>
              </w:rPr>
              <w:t>programs</w:t>
            </w:r>
            <w:proofErr w:type="gramEnd"/>
          </w:p>
          <w:p w14:paraId="647DCCBF" w14:textId="77777777" w:rsidR="004814D8" w:rsidRDefault="00000000">
            <w:pPr>
              <w:numPr>
                <w:ilvl w:val="0"/>
                <w:numId w:val="7"/>
              </w:numPr>
              <w:ind w:left="256" w:hanging="270"/>
              <w:rPr>
                <w:sz w:val="22"/>
                <w:szCs w:val="22"/>
              </w:rPr>
            </w:pPr>
            <w:r>
              <w:rPr>
                <w:sz w:val="22"/>
                <w:szCs w:val="22"/>
              </w:rPr>
              <w:t>Special one-time projects</w:t>
            </w:r>
          </w:p>
          <w:p w14:paraId="4924A3D6" w14:textId="77777777" w:rsidR="004814D8" w:rsidRDefault="00000000">
            <w:pPr>
              <w:numPr>
                <w:ilvl w:val="0"/>
                <w:numId w:val="7"/>
              </w:numPr>
              <w:ind w:left="256" w:hanging="270"/>
              <w:rPr>
                <w:sz w:val="22"/>
                <w:szCs w:val="22"/>
              </w:rPr>
            </w:pPr>
            <w:r>
              <w:rPr>
                <w:sz w:val="22"/>
                <w:szCs w:val="22"/>
              </w:rPr>
              <w:t xml:space="preserve">Other purposes specifically designated by </w:t>
            </w:r>
            <w:proofErr w:type="gramStart"/>
            <w:r>
              <w:rPr>
                <w:sz w:val="22"/>
                <w:szCs w:val="22"/>
              </w:rPr>
              <w:t>donors</w:t>
            </w:r>
            <w:proofErr w:type="gramEnd"/>
          </w:p>
          <w:p w14:paraId="1DAE2A87" w14:textId="77777777" w:rsidR="004814D8" w:rsidRDefault="004814D8">
            <w:pPr>
              <w:ind w:left="256"/>
              <w:rPr>
                <w:sz w:val="22"/>
                <w:szCs w:val="22"/>
              </w:rPr>
            </w:pPr>
          </w:p>
        </w:tc>
      </w:tr>
      <w:tr w:rsidR="004814D8" w14:paraId="3165BD85" w14:textId="77777777">
        <w:tc>
          <w:tcPr>
            <w:tcW w:w="1890" w:type="dxa"/>
          </w:tcPr>
          <w:p w14:paraId="12688D47" w14:textId="77777777" w:rsidR="004814D8" w:rsidRDefault="00000000">
            <w:pPr>
              <w:pBdr>
                <w:top w:val="nil"/>
                <w:left w:val="nil"/>
                <w:bottom w:val="nil"/>
                <w:right w:val="nil"/>
                <w:between w:val="nil"/>
              </w:pBdr>
              <w:rPr>
                <w:color w:val="000000"/>
                <w:sz w:val="22"/>
                <w:szCs w:val="22"/>
              </w:rPr>
            </w:pPr>
            <w:r>
              <w:rPr>
                <w:b/>
                <w:color w:val="000000"/>
                <w:sz w:val="22"/>
                <w:szCs w:val="22"/>
              </w:rPr>
              <w:t xml:space="preserve">Other Unrestricted / Undesignated Reserves </w:t>
            </w:r>
          </w:p>
          <w:p w14:paraId="50008601" w14:textId="77777777" w:rsidR="004814D8" w:rsidRDefault="004814D8">
            <w:pPr>
              <w:pBdr>
                <w:top w:val="nil"/>
                <w:left w:val="nil"/>
                <w:bottom w:val="nil"/>
                <w:right w:val="nil"/>
                <w:between w:val="nil"/>
              </w:pBdr>
              <w:rPr>
                <w:color w:val="000000"/>
                <w:sz w:val="22"/>
                <w:szCs w:val="22"/>
              </w:rPr>
            </w:pPr>
          </w:p>
          <w:p w14:paraId="3F21AA75" w14:textId="77777777" w:rsidR="004814D8" w:rsidRDefault="00000000">
            <w:pPr>
              <w:pBdr>
                <w:top w:val="nil"/>
                <w:left w:val="nil"/>
                <w:bottom w:val="nil"/>
                <w:right w:val="nil"/>
                <w:between w:val="nil"/>
              </w:pBdr>
              <w:rPr>
                <w:color w:val="000000"/>
                <w:sz w:val="22"/>
                <w:szCs w:val="22"/>
              </w:rPr>
            </w:pPr>
            <w:r>
              <w:rPr>
                <w:i/>
                <w:color w:val="000000"/>
                <w:sz w:val="22"/>
                <w:szCs w:val="22"/>
              </w:rPr>
              <w:t>No Time Horizon Defined</w:t>
            </w:r>
          </w:p>
        </w:tc>
        <w:tc>
          <w:tcPr>
            <w:tcW w:w="1890" w:type="dxa"/>
          </w:tcPr>
          <w:p w14:paraId="09951908" w14:textId="77777777" w:rsidR="004814D8" w:rsidRDefault="00000000">
            <w:pPr>
              <w:pBdr>
                <w:top w:val="nil"/>
                <w:left w:val="nil"/>
                <w:bottom w:val="nil"/>
                <w:right w:val="nil"/>
                <w:between w:val="nil"/>
              </w:pBdr>
              <w:rPr>
                <w:color w:val="000000"/>
                <w:sz w:val="22"/>
                <w:szCs w:val="22"/>
              </w:rPr>
            </w:pPr>
            <w:r>
              <w:rPr>
                <w:color w:val="000000"/>
                <w:sz w:val="22"/>
                <w:szCs w:val="22"/>
              </w:rPr>
              <w:t xml:space="preserve">Funds held </w:t>
            </w:r>
            <w:proofErr w:type="gramStart"/>
            <w:r>
              <w:rPr>
                <w:color w:val="000000"/>
                <w:sz w:val="22"/>
                <w:szCs w:val="22"/>
              </w:rPr>
              <w:t>in excess of</w:t>
            </w:r>
            <w:proofErr w:type="gramEnd"/>
            <w:r>
              <w:rPr>
                <w:color w:val="000000"/>
                <w:sz w:val="22"/>
                <w:szCs w:val="22"/>
              </w:rPr>
              <w:t xml:space="preserve"> requirements for established operations, operating reserves and other specific purposes.</w:t>
            </w:r>
          </w:p>
          <w:p w14:paraId="37EE092B" w14:textId="77777777" w:rsidR="004814D8" w:rsidRDefault="004814D8">
            <w:pPr>
              <w:pBdr>
                <w:top w:val="nil"/>
                <w:left w:val="nil"/>
                <w:bottom w:val="nil"/>
                <w:right w:val="nil"/>
                <w:between w:val="nil"/>
              </w:pBdr>
              <w:rPr>
                <w:color w:val="000000"/>
                <w:sz w:val="22"/>
                <w:szCs w:val="22"/>
              </w:rPr>
            </w:pPr>
          </w:p>
        </w:tc>
        <w:tc>
          <w:tcPr>
            <w:tcW w:w="1890" w:type="dxa"/>
          </w:tcPr>
          <w:p w14:paraId="41E2987A" w14:textId="77777777" w:rsidR="004814D8" w:rsidRDefault="00000000">
            <w:pPr>
              <w:pBdr>
                <w:top w:val="nil"/>
                <w:left w:val="nil"/>
                <w:bottom w:val="nil"/>
                <w:right w:val="nil"/>
                <w:between w:val="nil"/>
              </w:pBdr>
              <w:rPr>
                <w:color w:val="000000"/>
                <w:sz w:val="22"/>
                <w:szCs w:val="22"/>
              </w:rPr>
            </w:pPr>
            <w:r>
              <w:rPr>
                <w:color w:val="000000"/>
                <w:sz w:val="22"/>
                <w:szCs w:val="22"/>
              </w:rPr>
              <w:t>No required balance.</w:t>
            </w:r>
          </w:p>
        </w:tc>
        <w:tc>
          <w:tcPr>
            <w:tcW w:w="1890" w:type="dxa"/>
          </w:tcPr>
          <w:p w14:paraId="2D0062B4" w14:textId="77777777" w:rsidR="004814D8" w:rsidRDefault="00000000">
            <w:pPr>
              <w:pBdr>
                <w:top w:val="nil"/>
                <w:left w:val="nil"/>
                <w:bottom w:val="nil"/>
                <w:right w:val="nil"/>
                <w:between w:val="nil"/>
              </w:pBdr>
              <w:rPr>
                <w:color w:val="000000"/>
                <w:sz w:val="22"/>
                <w:szCs w:val="22"/>
              </w:rPr>
            </w:pPr>
            <w:r>
              <w:rPr>
                <w:color w:val="000000"/>
                <w:sz w:val="22"/>
                <w:szCs w:val="22"/>
              </w:rPr>
              <w:t>Any investments allowable under this Policy</w:t>
            </w:r>
          </w:p>
        </w:tc>
        <w:tc>
          <w:tcPr>
            <w:tcW w:w="1890" w:type="dxa"/>
          </w:tcPr>
          <w:p w14:paraId="02D759D4" w14:textId="77777777" w:rsidR="004814D8" w:rsidRDefault="00000000">
            <w:pPr>
              <w:pBdr>
                <w:top w:val="nil"/>
                <w:left w:val="nil"/>
                <w:bottom w:val="nil"/>
                <w:right w:val="nil"/>
                <w:between w:val="nil"/>
              </w:pBdr>
              <w:rPr>
                <w:color w:val="000000"/>
                <w:sz w:val="22"/>
                <w:szCs w:val="22"/>
              </w:rPr>
            </w:pPr>
            <w:r>
              <w:rPr>
                <w:color w:val="000000"/>
                <w:sz w:val="22"/>
                <w:szCs w:val="22"/>
              </w:rPr>
              <w:t xml:space="preserve">No generally defined </w:t>
            </w:r>
            <w:proofErr w:type="gramStart"/>
            <w:r>
              <w:rPr>
                <w:color w:val="000000"/>
                <w:sz w:val="22"/>
                <w:szCs w:val="22"/>
              </w:rPr>
              <w:t>restrictions;</w:t>
            </w:r>
            <w:proofErr w:type="gramEnd"/>
            <w:r>
              <w:rPr>
                <w:color w:val="000000"/>
                <w:sz w:val="22"/>
                <w:szCs w:val="22"/>
              </w:rPr>
              <w:t xml:space="preserve"> however, the Board may designate certain allowable spending.</w:t>
            </w:r>
          </w:p>
          <w:p w14:paraId="1A9DC39A" w14:textId="77777777" w:rsidR="004814D8" w:rsidRDefault="004814D8">
            <w:pPr>
              <w:pBdr>
                <w:top w:val="nil"/>
                <w:left w:val="nil"/>
                <w:bottom w:val="nil"/>
                <w:right w:val="nil"/>
                <w:between w:val="nil"/>
              </w:pBdr>
              <w:rPr>
                <w:color w:val="000000"/>
                <w:sz w:val="22"/>
                <w:szCs w:val="22"/>
              </w:rPr>
            </w:pPr>
          </w:p>
        </w:tc>
      </w:tr>
    </w:tbl>
    <w:p w14:paraId="6B18B44A" w14:textId="77777777" w:rsidR="004814D8" w:rsidRDefault="004814D8"/>
    <w:p w14:paraId="2DC96941" w14:textId="77777777" w:rsidR="004814D8" w:rsidRDefault="00000000">
      <w:r>
        <w:rPr>
          <w:b/>
        </w:rPr>
        <w:lastRenderedPageBreak/>
        <w:t>III</w:t>
      </w:r>
      <w:r>
        <w:rPr>
          <w:b/>
        </w:rPr>
        <w:tab/>
        <w:t>Time Horizon</w:t>
      </w:r>
    </w:p>
    <w:p w14:paraId="22D7AB85" w14:textId="77777777" w:rsidR="004814D8" w:rsidRDefault="004814D8"/>
    <w:p w14:paraId="46DBDD0A" w14:textId="77777777" w:rsidR="004814D8" w:rsidRDefault="00000000">
      <w:r>
        <w:t>The investment time horizon should match the purpose of each Fund. Short-term liquidity requirements are to be communicated by the Board to the Committee and by the Committee to an investment advisor, if applicable.</w:t>
      </w:r>
    </w:p>
    <w:p w14:paraId="7BBBACA9" w14:textId="77777777" w:rsidR="004814D8" w:rsidRDefault="004814D8"/>
    <w:p w14:paraId="69DBBC0A" w14:textId="77777777" w:rsidR="004814D8" w:rsidRDefault="00000000">
      <w:r>
        <w:rPr>
          <w:b/>
        </w:rPr>
        <w:t>IV</w:t>
      </w:r>
      <w:r>
        <w:rPr>
          <w:b/>
        </w:rPr>
        <w:tab/>
        <w:t>Risk Tolerances</w:t>
      </w:r>
    </w:p>
    <w:p w14:paraId="2DC9B429" w14:textId="77777777" w:rsidR="004814D8" w:rsidRDefault="004814D8"/>
    <w:p w14:paraId="2E114B48" w14:textId="77777777" w:rsidR="004814D8" w:rsidRDefault="00000000">
      <w:r>
        <w:t xml:space="preserve">The Board and Committee recognize and acknowledge some risk must be assumed </w:t>
      </w:r>
      <w:proofErr w:type="gramStart"/>
      <w:r>
        <w:t>in order to</w:t>
      </w:r>
      <w:proofErr w:type="gramEnd"/>
      <w:r>
        <w:t xml:space="preserve"> achieve the investment objectives of the portfolio, and that there are uncertainties and complexities associated with investment markets.  In establishing the risk tolerances for BGCCC, each Fund’s ability to withstand short and intermediate term volatility will be considered.  </w:t>
      </w:r>
    </w:p>
    <w:p w14:paraId="6881E072" w14:textId="77777777" w:rsidR="004814D8" w:rsidRDefault="004814D8"/>
    <w:p w14:paraId="598C66B4" w14:textId="77777777" w:rsidR="004814D8" w:rsidRDefault="00000000">
      <w:r>
        <w:t xml:space="preserve">Given the BGCCC’s long time horizon for the Endowment, interim fluctuations in market value and rates of return should be expected </w:t>
      </w:r>
      <w:proofErr w:type="gramStart"/>
      <w:r>
        <w:t>in order to</w:t>
      </w:r>
      <w:proofErr w:type="gramEnd"/>
      <w:r>
        <w:t xml:space="preserve"> achieve the longer-term objectives.</w:t>
      </w:r>
    </w:p>
    <w:p w14:paraId="7A4CF9CE" w14:textId="77777777" w:rsidR="004814D8" w:rsidRDefault="004814D8"/>
    <w:p w14:paraId="76183BAF" w14:textId="77777777" w:rsidR="004814D8" w:rsidRDefault="00000000">
      <w:r>
        <w:rPr>
          <w:b/>
        </w:rPr>
        <w:t>V</w:t>
      </w:r>
      <w:r>
        <w:rPr>
          <w:b/>
        </w:rPr>
        <w:tab/>
        <w:t>Duties and Responsibilities</w:t>
      </w:r>
    </w:p>
    <w:p w14:paraId="1AB69F7D" w14:textId="77777777" w:rsidR="004814D8" w:rsidRDefault="004814D8">
      <w:pPr>
        <w:ind w:left="720"/>
      </w:pPr>
    </w:p>
    <w:p w14:paraId="6B113C13" w14:textId="77777777" w:rsidR="004814D8" w:rsidRDefault="00000000">
      <w:pPr>
        <w:rPr>
          <w:b/>
          <w:color w:val="000000"/>
        </w:rPr>
      </w:pPr>
      <w:r>
        <w:rPr>
          <w:b/>
          <w:color w:val="000000"/>
        </w:rPr>
        <w:t>Board of Directors</w:t>
      </w:r>
    </w:p>
    <w:p w14:paraId="0F3A918D" w14:textId="77777777" w:rsidR="004814D8" w:rsidRDefault="004814D8">
      <w:pPr>
        <w:rPr>
          <w:color w:val="000000"/>
        </w:rPr>
      </w:pPr>
    </w:p>
    <w:p w14:paraId="54EE9062" w14:textId="77777777" w:rsidR="004814D8" w:rsidRDefault="00000000">
      <w:pPr>
        <w:rPr>
          <w:color w:val="000000"/>
        </w:rPr>
      </w:pPr>
      <w:r>
        <w:rPr>
          <w:color w:val="000000"/>
        </w:rPr>
        <w:t>The Board is responsible for overseeing the prudent management of assets received from all sources.</w:t>
      </w:r>
      <w:r>
        <w:t xml:space="preserve"> The Board has created a </w:t>
      </w:r>
      <w:proofErr w:type="gramStart"/>
      <w:r>
        <w:t>Committee</w:t>
      </w:r>
      <w:proofErr w:type="gramEnd"/>
      <w:r>
        <w:t xml:space="preserve"> of volunteers who have investment experience to advise and recommend to the Board a plan to achieve the BGCCC's investment goals. </w:t>
      </w:r>
    </w:p>
    <w:p w14:paraId="5F25E85A" w14:textId="77777777" w:rsidR="004814D8" w:rsidRDefault="004814D8"/>
    <w:p w14:paraId="4C4F9BFD" w14:textId="77777777" w:rsidR="004814D8" w:rsidRDefault="00000000">
      <w:proofErr w:type="gramStart"/>
      <w:r>
        <w:t>In order for</w:t>
      </w:r>
      <w:proofErr w:type="gramEnd"/>
      <w:r>
        <w:t xml:space="preserve"> the Committee to carry out its responsibilities, the Board is responsible for engaging in the process to make investments best suited for BGCCC. Such duties include:</w:t>
      </w:r>
    </w:p>
    <w:p w14:paraId="252003D7" w14:textId="77777777" w:rsidR="004814D8" w:rsidRDefault="004814D8"/>
    <w:p w14:paraId="58401B28" w14:textId="77777777" w:rsidR="004814D8" w:rsidRDefault="00000000">
      <w:pPr>
        <w:numPr>
          <w:ilvl w:val="0"/>
          <w:numId w:val="2"/>
        </w:numPr>
        <w:rPr>
          <w:color w:val="000000"/>
        </w:rPr>
      </w:pPr>
      <w:r>
        <w:t xml:space="preserve">Nominate and approve, by a majority vote of the Board, members of the </w:t>
      </w:r>
      <w:proofErr w:type="gramStart"/>
      <w:r>
        <w:t>Committee</w:t>
      </w:r>
      <w:proofErr w:type="gramEnd"/>
    </w:p>
    <w:p w14:paraId="2E5EB562" w14:textId="77777777" w:rsidR="004814D8" w:rsidRDefault="00000000">
      <w:pPr>
        <w:numPr>
          <w:ilvl w:val="0"/>
          <w:numId w:val="2"/>
        </w:numPr>
        <w:rPr>
          <w:color w:val="000000"/>
        </w:rPr>
      </w:pPr>
      <w:r>
        <w:t xml:space="preserve">Update the Committee of the following: </w:t>
      </w:r>
    </w:p>
    <w:p w14:paraId="02614101" w14:textId="77777777" w:rsidR="004814D8" w:rsidRDefault="00000000">
      <w:pPr>
        <w:numPr>
          <w:ilvl w:val="1"/>
          <w:numId w:val="3"/>
        </w:numPr>
        <w:rPr>
          <w:color w:val="000000"/>
        </w:rPr>
      </w:pPr>
      <w:r>
        <w:rPr>
          <w:color w:val="000000"/>
        </w:rPr>
        <w:t xml:space="preserve">Changes in the time horizon and risk tolerance for investing each </w:t>
      </w:r>
      <w:proofErr w:type="gramStart"/>
      <w:r>
        <w:rPr>
          <w:color w:val="000000"/>
        </w:rPr>
        <w:t>Fund</w:t>
      </w:r>
      <w:proofErr w:type="gramEnd"/>
      <w:r>
        <w:rPr>
          <w:color w:val="000000"/>
        </w:rPr>
        <w:t xml:space="preserve"> </w:t>
      </w:r>
    </w:p>
    <w:p w14:paraId="68077304" w14:textId="77777777" w:rsidR="004814D8" w:rsidRDefault="00000000">
      <w:pPr>
        <w:numPr>
          <w:ilvl w:val="1"/>
          <w:numId w:val="3"/>
        </w:numPr>
        <w:rPr>
          <w:color w:val="000000"/>
        </w:rPr>
      </w:pPr>
      <w:r>
        <w:rPr>
          <w:color w:val="000000"/>
        </w:rPr>
        <w:t>Projected cash needs</w:t>
      </w:r>
    </w:p>
    <w:p w14:paraId="00D44E61" w14:textId="77777777" w:rsidR="004814D8" w:rsidRDefault="00000000">
      <w:pPr>
        <w:numPr>
          <w:ilvl w:val="1"/>
          <w:numId w:val="3"/>
        </w:numPr>
        <w:rPr>
          <w:color w:val="000000"/>
        </w:rPr>
      </w:pPr>
      <w:r>
        <w:rPr>
          <w:color w:val="000000"/>
        </w:rPr>
        <w:t>Financial forecasts</w:t>
      </w:r>
    </w:p>
    <w:p w14:paraId="6BCF9542" w14:textId="77777777" w:rsidR="004814D8" w:rsidRDefault="00000000">
      <w:pPr>
        <w:numPr>
          <w:ilvl w:val="1"/>
          <w:numId w:val="3"/>
        </w:numPr>
        <w:rPr>
          <w:color w:val="000000"/>
        </w:rPr>
      </w:pPr>
      <w:r>
        <w:rPr>
          <w:color w:val="000000"/>
        </w:rPr>
        <w:t xml:space="preserve">Other significant operational changes that could materially affect investment </w:t>
      </w:r>
      <w:proofErr w:type="gramStart"/>
      <w:r>
        <w:rPr>
          <w:color w:val="000000"/>
        </w:rPr>
        <w:t>decisions</w:t>
      </w:r>
      <w:proofErr w:type="gramEnd"/>
    </w:p>
    <w:p w14:paraId="159E03C2" w14:textId="77777777" w:rsidR="004814D8" w:rsidRDefault="00000000">
      <w:pPr>
        <w:numPr>
          <w:ilvl w:val="0"/>
          <w:numId w:val="2"/>
        </w:numPr>
        <w:rPr>
          <w:color w:val="000000"/>
        </w:rPr>
      </w:pPr>
      <w:r>
        <w:rPr>
          <w:color w:val="000000"/>
        </w:rPr>
        <w:t xml:space="preserve">Approve the asset allocation of invested funds on an annual basis. </w:t>
      </w:r>
    </w:p>
    <w:p w14:paraId="6A02F560" w14:textId="77777777" w:rsidR="004814D8" w:rsidRDefault="004814D8"/>
    <w:p w14:paraId="0E8C6428" w14:textId="77777777" w:rsidR="004814D8" w:rsidRDefault="00000000">
      <w:r>
        <w:rPr>
          <w:b/>
        </w:rPr>
        <w:t>Investment Committee</w:t>
      </w:r>
    </w:p>
    <w:p w14:paraId="3AEB04CF" w14:textId="77777777" w:rsidR="004814D8" w:rsidRDefault="004814D8">
      <w:pPr>
        <w:pBdr>
          <w:top w:val="nil"/>
          <w:left w:val="nil"/>
          <w:bottom w:val="nil"/>
          <w:right w:val="nil"/>
          <w:between w:val="nil"/>
        </w:pBdr>
        <w:rPr>
          <w:color w:val="000000"/>
        </w:rPr>
      </w:pPr>
    </w:p>
    <w:p w14:paraId="65244E77" w14:textId="77777777" w:rsidR="004814D8" w:rsidRDefault="00000000">
      <w:pPr>
        <w:pBdr>
          <w:top w:val="nil"/>
          <w:left w:val="nil"/>
          <w:bottom w:val="nil"/>
          <w:right w:val="nil"/>
          <w:between w:val="nil"/>
        </w:pBdr>
        <w:rPr>
          <w:color w:val="000000"/>
        </w:rPr>
      </w:pPr>
      <w:r>
        <w:rPr>
          <w:color w:val="000000"/>
        </w:rPr>
        <w:t xml:space="preserve">The Committee is comprised of five to seven members including the Chair of the Finance Committee. The remaining members are to be individuals possessing experience in managing an investment portfolio and may or may not be members of the Board. Committee members serve three-year terms and may be re-nominated and approved for unlimited successive terms. A chairperson is selected by the full membership of the Committee. A secretary and other officers may be selected by the Committee as deemed necessary. Meeting minutes are to be maintained. </w:t>
      </w:r>
    </w:p>
    <w:p w14:paraId="3CE32032" w14:textId="77777777" w:rsidR="004814D8" w:rsidRDefault="004814D8">
      <w:pPr>
        <w:pBdr>
          <w:top w:val="nil"/>
          <w:left w:val="nil"/>
          <w:bottom w:val="nil"/>
          <w:right w:val="nil"/>
          <w:between w:val="nil"/>
        </w:pBdr>
        <w:rPr>
          <w:color w:val="000000"/>
        </w:rPr>
      </w:pPr>
    </w:p>
    <w:p w14:paraId="7056E664" w14:textId="77777777" w:rsidR="004814D8" w:rsidRDefault="00000000">
      <w:pPr>
        <w:rPr>
          <w:color w:val="000000"/>
        </w:rPr>
      </w:pPr>
      <w:r>
        <w:rPr>
          <w:color w:val="000000"/>
        </w:rPr>
        <w:lastRenderedPageBreak/>
        <w:t xml:space="preserve">In accordance with the original Resolution on Endowment, the Committee will meet at least two times a year. A quorum is defined as a majority of the members. The affirmative vote of a quorum is necessary to carry any motion. </w:t>
      </w:r>
    </w:p>
    <w:p w14:paraId="50D18E6D" w14:textId="77777777" w:rsidR="004814D8" w:rsidRDefault="004814D8">
      <w:pPr>
        <w:pBdr>
          <w:top w:val="nil"/>
          <w:left w:val="nil"/>
          <w:bottom w:val="nil"/>
          <w:right w:val="nil"/>
          <w:between w:val="nil"/>
        </w:pBdr>
        <w:rPr>
          <w:color w:val="000000"/>
        </w:rPr>
      </w:pPr>
    </w:p>
    <w:p w14:paraId="1251CE6E" w14:textId="77777777" w:rsidR="004814D8" w:rsidRDefault="00000000">
      <w:pPr>
        <w:pBdr>
          <w:top w:val="nil"/>
          <w:left w:val="nil"/>
          <w:bottom w:val="nil"/>
          <w:right w:val="nil"/>
          <w:between w:val="nil"/>
        </w:pBdr>
        <w:rPr>
          <w:color w:val="000000"/>
        </w:rPr>
      </w:pPr>
      <w:r>
        <w:rPr>
          <w:color w:val="000000"/>
        </w:rPr>
        <w:t>Duties and activities of the Committee are as follows:</w:t>
      </w:r>
    </w:p>
    <w:p w14:paraId="67691BD7" w14:textId="77777777" w:rsidR="004814D8" w:rsidRDefault="004814D8">
      <w:pPr>
        <w:pBdr>
          <w:top w:val="nil"/>
          <w:left w:val="nil"/>
          <w:bottom w:val="nil"/>
          <w:right w:val="nil"/>
          <w:between w:val="nil"/>
        </w:pBdr>
        <w:rPr>
          <w:color w:val="000000"/>
        </w:rPr>
      </w:pPr>
    </w:p>
    <w:p w14:paraId="465DE4B1" w14:textId="77777777" w:rsidR="004814D8" w:rsidRDefault="00000000">
      <w:pPr>
        <w:numPr>
          <w:ilvl w:val="0"/>
          <w:numId w:val="9"/>
        </w:numPr>
      </w:pPr>
      <w:r>
        <w:t xml:space="preserve">Prepare and maintain </w:t>
      </w:r>
      <w:proofErr w:type="gramStart"/>
      <w:r>
        <w:t>this</w:t>
      </w:r>
      <w:proofErr w:type="gramEnd"/>
      <w:r>
        <w:t xml:space="preserve"> Policy.</w:t>
      </w:r>
    </w:p>
    <w:p w14:paraId="1B1B2F1F" w14:textId="77777777" w:rsidR="004814D8" w:rsidRDefault="00000000">
      <w:pPr>
        <w:numPr>
          <w:ilvl w:val="0"/>
          <w:numId w:val="9"/>
        </w:numPr>
      </w:pPr>
      <w:r>
        <w:t>Solicit input from the Board regarding time horizon and risk tolerance affecting the investment of Funds.</w:t>
      </w:r>
    </w:p>
    <w:p w14:paraId="7CEB8369" w14:textId="77777777" w:rsidR="004814D8" w:rsidRDefault="00000000">
      <w:pPr>
        <w:numPr>
          <w:ilvl w:val="0"/>
          <w:numId w:val="9"/>
        </w:numPr>
      </w:pPr>
      <w:r>
        <w:t>Develop and present an asset allocation plan for approval by the Board on an annual basis.</w:t>
      </w:r>
    </w:p>
    <w:p w14:paraId="721D5A76" w14:textId="77777777" w:rsidR="004814D8" w:rsidRDefault="00000000">
      <w:pPr>
        <w:numPr>
          <w:ilvl w:val="0"/>
          <w:numId w:val="9"/>
        </w:numPr>
      </w:pPr>
      <w:r>
        <w:t xml:space="preserve">If </w:t>
      </w:r>
      <w:proofErr w:type="gramStart"/>
      <w:r>
        <w:t>services</w:t>
      </w:r>
      <w:proofErr w:type="gramEnd"/>
      <w:r>
        <w:t xml:space="preserve"> of investment advisors are deemed appropriate, prudently select such advisors and communicate asset allocation decisions, liquidity requirements, etc. </w:t>
      </w:r>
    </w:p>
    <w:p w14:paraId="6B2462DE" w14:textId="77777777" w:rsidR="004814D8" w:rsidRDefault="00000000">
      <w:pPr>
        <w:numPr>
          <w:ilvl w:val="0"/>
          <w:numId w:val="9"/>
        </w:numPr>
      </w:pPr>
      <w:r>
        <w:t>Monitor and supervise all service vendors and investment advisors.</w:t>
      </w:r>
    </w:p>
    <w:p w14:paraId="6DF1BE2E" w14:textId="77777777" w:rsidR="004814D8" w:rsidRDefault="00000000">
      <w:pPr>
        <w:numPr>
          <w:ilvl w:val="0"/>
          <w:numId w:val="9"/>
        </w:numPr>
      </w:pPr>
      <w:r>
        <w:t>Assist BGCCC staff with investment accounting, record keeping and/or administrative questions, as needed.</w:t>
      </w:r>
    </w:p>
    <w:p w14:paraId="6E19DB53" w14:textId="77777777" w:rsidR="004814D8" w:rsidRDefault="00000000">
      <w:pPr>
        <w:numPr>
          <w:ilvl w:val="0"/>
          <w:numId w:val="9"/>
        </w:numPr>
      </w:pPr>
      <w:r>
        <w:t>Execute trades and rebalancing within Funds.</w:t>
      </w:r>
    </w:p>
    <w:p w14:paraId="70FFFFA7" w14:textId="77777777" w:rsidR="004814D8" w:rsidRDefault="00000000">
      <w:pPr>
        <w:numPr>
          <w:ilvl w:val="0"/>
          <w:numId w:val="9"/>
        </w:numPr>
      </w:pPr>
      <w:r>
        <w:t>Avoid prohibited transactions and conflicts of interest.</w:t>
      </w:r>
    </w:p>
    <w:p w14:paraId="27FF974A" w14:textId="77777777" w:rsidR="004814D8" w:rsidRDefault="00000000">
      <w:pPr>
        <w:numPr>
          <w:ilvl w:val="0"/>
          <w:numId w:val="9"/>
        </w:numPr>
        <w:pBdr>
          <w:top w:val="nil"/>
          <w:left w:val="nil"/>
          <w:bottom w:val="nil"/>
          <w:right w:val="nil"/>
          <w:between w:val="nil"/>
        </w:pBdr>
        <w:rPr>
          <w:color w:val="000000"/>
        </w:rPr>
      </w:pPr>
      <w:r>
        <w:rPr>
          <w:color w:val="000000"/>
        </w:rPr>
        <w:t>Meet with the Finance Committee at least once per year.</w:t>
      </w:r>
    </w:p>
    <w:p w14:paraId="135BC1D6" w14:textId="77777777" w:rsidR="004814D8" w:rsidRDefault="00000000">
      <w:pPr>
        <w:numPr>
          <w:ilvl w:val="0"/>
          <w:numId w:val="9"/>
        </w:numPr>
        <w:pBdr>
          <w:top w:val="nil"/>
          <w:left w:val="nil"/>
          <w:bottom w:val="nil"/>
          <w:right w:val="nil"/>
          <w:between w:val="nil"/>
        </w:pBdr>
        <w:rPr>
          <w:color w:val="000000"/>
        </w:rPr>
      </w:pPr>
      <w:r>
        <w:rPr>
          <w:color w:val="000000"/>
        </w:rPr>
        <w:t xml:space="preserve">Provide a report to the Board at least two times per year during the regularly scheduled meetings in February and August unless otherwise scheduled with Board approval. </w:t>
      </w:r>
    </w:p>
    <w:p w14:paraId="4227DAF3" w14:textId="77777777" w:rsidR="004814D8" w:rsidRDefault="00000000">
      <w:pPr>
        <w:numPr>
          <w:ilvl w:val="0"/>
          <w:numId w:val="9"/>
        </w:numPr>
        <w:pBdr>
          <w:top w:val="nil"/>
          <w:left w:val="nil"/>
          <w:bottom w:val="nil"/>
          <w:right w:val="nil"/>
          <w:between w:val="nil"/>
        </w:pBdr>
        <w:rPr>
          <w:color w:val="000000"/>
        </w:rPr>
      </w:pPr>
      <w:r>
        <w:rPr>
          <w:color w:val="000000"/>
        </w:rPr>
        <w:t xml:space="preserve">Present a complete report on the administration of the Endowment and other Funds at least once each year at a Board meeting. Reporting will include a copy of the asset allocation plan and an account review detailing investment performance and </w:t>
      </w:r>
      <w:r>
        <w:t>F</w:t>
      </w:r>
      <w:r>
        <w:rPr>
          <w:color w:val="000000"/>
        </w:rPr>
        <w:t xml:space="preserve">und value. The reports shall reflect compliance with the objective, policies and asset allocations set forth herein. </w:t>
      </w:r>
    </w:p>
    <w:p w14:paraId="0E077C90" w14:textId="77777777" w:rsidR="004814D8" w:rsidRDefault="00000000">
      <w:pPr>
        <w:numPr>
          <w:ilvl w:val="0"/>
          <w:numId w:val="9"/>
        </w:numPr>
        <w:pBdr>
          <w:top w:val="nil"/>
          <w:left w:val="nil"/>
          <w:bottom w:val="nil"/>
          <w:right w:val="nil"/>
          <w:between w:val="nil"/>
        </w:pBdr>
        <w:rPr>
          <w:color w:val="000000"/>
        </w:rPr>
      </w:pPr>
      <w:r>
        <w:rPr>
          <w:color w:val="000000"/>
        </w:rPr>
        <w:t xml:space="preserve">Provide the Board with the amount of projected funds available from the Endowment for the next year’s budget. </w:t>
      </w:r>
    </w:p>
    <w:p w14:paraId="50426373" w14:textId="77777777" w:rsidR="004814D8" w:rsidRDefault="004814D8">
      <w:pPr>
        <w:pBdr>
          <w:top w:val="nil"/>
          <w:left w:val="nil"/>
          <w:bottom w:val="nil"/>
          <w:right w:val="nil"/>
          <w:between w:val="nil"/>
        </w:pBdr>
        <w:rPr>
          <w:color w:val="000000"/>
        </w:rPr>
      </w:pPr>
    </w:p>
    <w:p w14:paraId="1DEE0307" w14:textId="77777777" w:rsidR="004814D8" w:rsidRDefault="00000000">
      <w:pPr>
        <w:rPr>
          <w:color w:val="000000"/>
        </w:rPr>
      </w:pPr>
      <w:r>
        <w:rPr>
          <w:color w:val="000000"/>
        </w:rPr>
        <w:t>The Committee may select outside investment managers or investment advis</w:t>
      </w:r>
      <w:r>
        <w:t>ors</w:t>
      </w:r>
      <w:r>
        <w:rPr>
          <w:color w:val="000000"/>
        </w:rPr>
        <w:t xml:space="preserve"> to be approved by the Board and/or contract for an independent investment performance analysis from a third party with the approval of the Board authorizing payment and compensation for such an analysis. </w:t>
      </w:r>
    </w:p>
    <w:p w14:paraId="4EF6EBA0" w14:textId="77777777" w:rsidR="004814D8" w:rsidRDefault="004814D8"/>
    <w:p w14:paraId="71BA28EC" w14:textId="77777777" w:rsidR="004814D8" w:rsidRDefault="00000000">
      <w:r>
        <w:rPr>
          <w:b/>
        </w:rPr>
        <w:t>Custodian</w:t>
      </w:r>
    </w:p>
    <w:p w14:paraId="0DC0D0BC" w14:textId="77777777" w:rsidR="004814D8" w:rsidRDefault="004814D8"/>
    <w:p w14:paraId="39147E76" w14:textId="77777777" w:rsidR="004814D8" w:rsidRDefault="00000000">
      <w:r>
        <w:t xml:space="preserve">Custodians are responsible for the safekeeping of </w:t>
      </w:r>
      <w:proofErr w:type="gramStart"/>
      <w:r>
        <w:t>the BGCCC’s</w:t>
      </w:r>
      <w:proofErr w:type="gramEnd"/>
      <w:r>
        <w:t xml:space="preserve"> assets.  The specific duties and responsibilities of the custodian are:</w:t>
      </w:r>
    </w:p>
    <w:p w14:paraId="62443740" w14:textId="77777777" w:rsidR="004814D8" w:rsidRDefault="004814D8"/>
    <w:p w14:paraId="6E088FE7" w14:textId="77777777" w:rsidR="004814D8" w:rsidRDefault="00000000">
      <w:pPr>
        <w:numPr>
          <w:ilvl w:val="0"/>
          <w:numId w:val="4"/>
        </w:numPr>
        <w:ind w:left="360" w:hanging="360"/>
      </w:pPr>
      <w:r>
        <w:t>Value the holdings.</w:t>
      </w:r>
    </w:p>
    <w:p w14:paraId="59858235" w14:textId="77777777" w:rsidR="004814D8" w:rsidRDefault="00000000">
      <w:pPr>
        <w:numPr>
          <w:ilvl w:val="0"/>
          <w:numId w:val="4"/>
        </w:numPr>
        <w:ind w:left="360" w:hanging="360"/>
      </w:pPr>
      <w:r>
        <w:t>Collect all income and dividends owed to the BGCCC.</w:t>
      </w:r>
    </w:p>
    <w:p w14:paraId="71E11DAB" w14:textId="77777777" w:rsidR="004814D8" w:rsidRDefault="00000000">
      <w:pPr>
        <w:numPr>
          <w:ilvl w:val="0"/>
          <w:numId w:val="4"/>
        </w:numPr>
        <w:ind w:left="360" w:hanging="360"/>
      </w:pPr>
      <w:r>
        <w:t>Settle all transactions (buy-sell orders).</w:t>
      </w:r>
    </w:p>
    <w:p w14:paraId="643C10F8" w14:textId="77777777" w:rsidR="004814D8" w:rsidRDefault="00000000">
      <w:pPr>
        <w:numPr>
          <w:ilvl w:val="0"/>
          <w:numId w:val="4"/>
        </w:numPr>
        <w:ind w:left="360" w:hanging="360"/>
      </w:pPr>
      <w:r>
        <w:t xml:space="preserve">Provide monthly reports that detail transactions, cash flows, securities held and their current value, change in value of each security since the last report and the overall Fund balance. </w:t>
      </w:r>
    </w:p>
    <w:p w14:paraId="6F63F101" w14:textId="77777777" w:rsidR="004814D8" w:rsidRDefault="004814D8">
      <w:pPr>
        <w:ind w:left="360"/>
      </w:pPr>
    </w:p>
    <w:p w14:paraId="68219751" w14:textId="77777777" w:rsidR="004814D8" w:rsidRDefault="00000000">
      <w:r>
        <w:rPr>
          <w:b/>
        </w:rPr>
        <w:t>Investment Advisor</w:t>
      </w:r>
    </w:p>
    <w:p w14:paraId="6BB6E440" w14:textId="77777777" w:rsidR="004814D8" w:rsidRDefault="004814D8"/>
    <w:p w14:paraId="625F65AE" w14:textId="77777777" w:rsidR="004814D8" w:rsidRDefault="00000000">
      <w:r>
        <w:t xml:space="preserve">The investment advisor serves as an objective, third-party professional retained to manage the overall investment process.  The advisor is responsible for implementing a disciplined and </w:t>
      </w:r>
      <w:r>
        <w:lastRenderedPageBreak/>
        <w:t xml:space="preserve">rigorous investment process and to aid the Committee in fulfilling their fiduciary responsibilities outlined above.  </w:t>
      </w:r>
    </w:p>
    <w:p w14:paraId="00CCBCED" w14:textId="77777777" w:rsidR="004814D8" w:rsidRDefault="004814D8"/>
    <w:p w14:paraId="4978751D" w14:textId="77777777" w:rsidR="004814D8" w:rsidRDefault="00000000">
      <w:r>
        <w:rPr>
          <w:b/>
        </w:rPr>
        <w:t>VI</w:t>
      </w:r>
      <w:r>
        <w:rPr>
          <w:b/>
        </w:rPr>
        <w:tab/>
        <w:t>Asset Allocation</w:t>
      </w:r>
    </w:p>
    <w:p w14:paraId="2D31A909" w14:textId="77777777" w:rsidR="004814D8" w:rsidRDefault="004814D8"/>
    <w:p w14:paraId="652E98DB" w14:textId="77777777" w:rsidR="004814D8" w:rsidRDefault="00000000">
      <w:r>
        <w:t xml:space="preserve">Long-term investment performance is primarily a function of asset allocation (i.e. distributing investments across a range of asset classes).  Historically, while interest-generating investments, such as bonds, have the advantage of relative stability of principal value, they provide less opportunity for real long-term capital growth when adjusted due to their susceptibility to inflation.  On the other hand, equity investments, such as common stocks, clearly have a significantly higher expected return but have the disadvantage of much greater year-by-year variability of return.  </w:t>
      </w:r>
    </w:p>
    <w:p w14:paraId="47AAFA8D" w14:textId="77777777" w:rsidR="004814D8" w:rsidRDefault="004814D8"/>
    <w:p w14:paraId="055AC9C5" w14:textId="77777777" w:rsidR="004814D8" w:rsidRDefault="00000000">
      <w:r>
        <w:t xml:space="preserve">Based on the BGCCC Board’s tolerance for risk, time horizon, and spending needs, a specific asset allocation, that also includes investment subclasses, is recommended annually by the Committee to the Board for their approval that is best suited to meet BGCCC’s objectives. The annual asset allocation will be documented in meeting minutes of the Board. The allowable annual asset allocation will fall within the following ranges.  </w:t>
      </w:r>
    </w:p>
    <w:p w14:paraId="06FB362E" w14:textId="77777777" w:rsidR="004814D8" w:rsidRDefault="004814D8"/>
    <w:p w14:paraId="6E5A2B3F" w14:textId="77777777" w:rsidR="004814D8" w:rsidRDefault="00000000">
      <w:r>
        <w:t>Once fully invested the acceptable target ranges of each fund are defined below:</w:t>
      </w:r>
    </w:p>
    <w:p w14:paraId="1439F3FE" w14:textId="77777777" w:rsidR="004814D8" w:rsidRDefault="004814D8"/>
    <w:tbl>
      <w:tblPr>
        <w:tblStyle w:val="a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6"/>
        <w:gridCol w:w="2304"/>
        <w:gridCol w:w="2023"/>
        <w:gridCol w:w="2023"/>
      </w:tblGrid>
      <w:tr w:rsidR="004814D8" w14:paraId="73C3CABF" w14:textId="77777777">
        <w:trPr>
          <w:trHeight w:val="536"/>
        </w:trPr>
        <w:tc>
          <w:tcPr>
            <w:tcW w:w="3226" w:type="dxa"/>
            <w:vAlign w:val="center"/>
          </w:tcPr>
          <w:p w14:paraId="0E522487" w14:textId="77777777" w:rsidR="004814D8" w:rsidRDefault="00000000">
            <w:pPr>
              <w:jc w:val="center"/>
            </w:pPr>
            <w:r>
              <w:rPr>
                <w:b/>
              </w:rPr>
              <w:t>Fund</w:t>
            </w:r>
          </w:p>
        </w:tc>
        <w:tc>
          <w:tcPr>
            <w:tcW w:w="2304" w:type="dxa"/>
            <w:vAlign w:val="center"/>
          </w:tcPr>
          <w:p w14:paraId="00500CF0" w14:textId="77777777" w:rsidR="004814D8" w:rsidRDefault="00000000">
            <w:pPr>
              <w:jc w:val="center"/>
            </w:pPr>
            <w:r>
              <w:rPr>
                <w:b/>
              </w:rPr>
              <w:t>Cash &amp; Cash Equivalents</w:t>
            </w:r>
          </w:p>
        </w:tc>
        <w:tc>
          <w:tcPr>
            <w:tcW w:w="2023" w:type="dxa"/>
            <w:vAlign w:val="center"/>
          </w:tcPr>
          <w:p w14:paraId="1A0D0804" w14:textId="77777777" w:rsidR="004814D8" w:rsidRDefault="00000000">
            <w:pPr>
              <w:jc w:val="center"/>
            </w:pPr>
            <w:r>
              <w:rPr>
                <w:b/>
              </w:rPr>
              <w:t>Fixed Income</w:t>
            </w:r>
          </w:p>
        </w:tc>
        <w:tc>
          <w:tcPr>
            <w:tcW w:w="2023" w:type="dxa"/>
            <w:vAlign w:val="center"/>
          </w:tcPr>
          <w:p w14:paraId="00F9371B" w14:textId="77777777" w:rsidR="004814D8" w:rsidRDefault="00000000">
            <w:pPr>
              <w:jc w:val="center"/>
            </w:pPr>
            <w:r>
              <w:rPr>
                <w:b/>
              </w:rPr>
              <w:t>Equities</w:t>
            </w:r>
          </w:p>
        </w:tc>
      </w:tr>
      <w:tr w:rsidR="004814D8" w14:paraId="6F7E488D" w14:textId="77777777">
        <w:trPr>
          <w:trHeight w:val="432"/>
        </w:trPr>
        <w:tc>
          <w:tcPr>
            <w:tcW w:w="3226" w:type="dxa"/>
            <w:vAlign w:val="center"/>
          </w:tcPr>
          <w:p w14:paraId="3945FFC6" w14:textId="77777777" w:rsidR="004814D8" w:rsidRDefault="00000000">
            <w:pPr>
              <w:pBdr>
                <w:top w:val="nil"/>
                <w:left w:val="nil"/>
                <w:bottom w:val="nil"/>
                <w:right w:val="nil"/>
                <w:between w:val="nil"/>
              </w:pBdr>
              <w:jc w:val="center"/>
              <w:rPr>
                <w:color w:val="000000"/>
                <w:sz w:val="22"/>
                <w:szCs w:val="22"/>
              </w:rPr>
            </w:pPr>
            <w:r>
              <w:rPr>
                <w:b/>
                <w:color w:val="000000"/>
                <w:sz w:val="22"/>
                <w:szCs w:val="22"/>
              </w:rPr>
              <w:t>Current Operations</w:t>
            </w:r>
          </w:p>
        </w:tc>
        <w:tc>
          <w:tcPr>
            <w:tcW w:w="2304" w:type="dxa"/>
            <w:vAlign w:val="center"/>
          </w:tcPr>
          <w:p w14:paraId="4D722638" w14:textId="77777777" w:rsidR="004814D8" w:rsidRDefault="00000000">
            <w:pPr>
              <w:jc w:val="center"/>
            </w:pPr>
            <w:r>
              <w:t>100%</w:t>
            </w:r>
          </w:p>
        </w:tc>
        <w:tc>
          <w:tcPr>
            <w:tcW w:w="2023" w:type="dxa"/>
            <w:vAlign w:val="center"/>
          </w:tcPr>
          <w:p w14:paraId="2F3123A3" w14:textId="77777777" w:rsidR="004814D8" w:rsidRDefault="00000000">
            <w:pPr>
              <w:jc w:val="center"/>
            </w:pPr>
            <w:r>
              <w:t>0%</w:t>
            </w:r>
          </w:p>
        </w:tc>
        <w:tc>
          <w:tcPr>
            <w:tcW w:w="2023" w:type="dxa"/>
            <w:vAlign w:val="center"/>
          </w:tcPr>
          <w:p w14:paraId="0B30F045" w14:textId="77777777" w:rsidR="004814D8" w:rsidRDefault="00000000">
            <w:pPr>
              <w:jc w:val="center"/>
            </w:pPr>
            <w:r>
              <w:t>0%</w:t>
            </w:r>
          </w:p>
        </w:tc>
      </w:tr>
      <w:tr w:rsidR="004814D8" w14:paraId="43AF8266" w14:textId="77777777">
        <w:trPr>
          <w:trHeight w:val="432"/>
        </w:trPr>
        <w:tc>
          <w:tcPr>
            <w:tcW w:w="3226" w:type="dxa"/>
            <w:vAlign w:val="center"/>
          </w:tcPr>
          <w:p w14:paraId="5AB23FFC" w14:textId="77777777" w:rsidR="004814D8" w:rsidRDefault="00000000">
            <w:pPr>
              <w:pBdr>
                <w:top w:val="nil"/>
                <w:left w:val="nil"/>
                <w:bottom w:val="nil"/>
                <w:right w:val="nil"/>
                <w:between w:val="nil"/>
              </w:pBdr>
              <w:jc w:val="center"/>
              <w:rPr>
                <w:color w:val="000000"/>
                <w:sz w:val="22"/>
                <w:szCs w:val="22"/>
              </w:rPr>
            </w:pPr>
            <w:r>
              <w:rPr>
                <w:b/>
                <w:color w:val="000000"/>
                <w:sz w:val="22"/>
                <w:szCs w:val="22"/>
              </w:rPr>
              <w:t>Operating Reserves</w:t>
            </w:r>
          </w:p>
        </w:tc>
        <w:tc>
          <w:tcPr>
            <w:tcW w:w="2304" w:type="dxa"/>
            <w:vAlign w:val="center"/>
          </w:tcPr>
          <w:p w14:paraId="034D7CA5" w14:textId="77777777" w:rsidR="004814D8" w:rsidRDefault="00000000">
            <w:pPr>
              <w:jc w:val="center"/>
            </w:pPr>
            <w:r>
              <w:t>20% to 100%</w:t>
            </w:r>
          </w:p>
        </w:tc>
        <w:tc>
          <w:tcPr>
            <w:tcW w:w="2023" w:type="dxa"/>
            <w:vAlign w:val="center"/>
          </w:tcPr>
          <w:p w14:paraId="4EB36E1A" w14:textId="77777777" w:rsidR="004814D8" w:rsidRDefault="00000000">
            <w:pPr>
              <w:jc w:val="center"/>
            </w:pPr>
            <w:r>
              <w:t>0% to 80%</w:t>
            </w:r>
          </w:p>
        </w:tc>
        <w:tc>
          <w:tcPr>
            <w:tcW w:w="2023" w:type="dxa"/>
            <w:vAlign w:val="center"/>
          </w:tcPr>
          <w:p w14:paraId="5493C313" w14:textId="77777777" w:rsidR="004814D8" w:rsidRDefault="00000000">
            <w:pPr>
              <w:jc w:val="center"/>
            </w:pPr>
            <w:r>
              <w:t>0%</w:t>
            </w:r>
          </w:p>
        </w:tc>
      </w:tr>
      <w:tr w:rsidR="004814D8" w14:paraId="16046526" w14:textId="77777777">
        <w:trPr>
          <w:trHeight w:val="432"/>
        </w:trPr>
        <w:tc>
          <w:tcPr>
            <w:tcW w:w="3226" w:type="dxa"/>
            <w:vAlign w:val="center"/>
          </w:tcPr>
          <w:p w14:paraId="3F2A5C5F" w14:textId="77777777" w:rsidR="004814D8" w:rsidRDefault="00000000">
            <w:pPr>
              <w:jc w:val="center"/>
            </w:pPr>
            <w:r>
              <w:rPr>
                <w:b/>
              </w:rPr>
              <w:t>Capital or Building</w:t>
            </w:r>
          </w:p>
        </w:tc>
        <w:tc>
          <w:tcPr>
            <w:tcW w:w="2304" w:type="dxa"/>
            <w:vAlign w:val="center"/>
          </w:tcPr>
          <w:p w14:paraId="57266FC4" w14:textId="77777777" w:rsidR="004814D8" w:rsidRDefault="00000000">
            <w:pPr>
              <w:jc w:val="center"/>
            </w:pPr>
            <w:r>
              <w:t>10% to 100%</w:t>
            </w:r>
          </w:p>
        </w:tc>
        <w:tc>
          <w:tcPr>
            <w:tcW w:w="2023" w:type="dxa"/>
            <w:vAlign w:val="center"/>
          </w:tcPr>
          <w:p w14:paraId="789AA870" w14:textId="77777777" w:rsidR="004814D8" w:rsidRDefault="00000000">
            <w:pPr>
              <w:jc w:val="center"/>
            </w:pPr>
            <w:r>
              <w:t>20% to 80%</w:t>
            </w:r>
          </w:p>
        </w:tc>
        <w:tc>
          <w:tcPr>
            <w:tcW w:w="2023" w:type="dxa"/>
            <w:vAlign w:val="center"/>
          </w:tcPr>
          <w:p w14:paraId="603CC2A7" w14:textId="77777777" w:rsidR="004814D8" w:rsidRDefault="00000000">
            <w:pPr>
              <w:jc w:val="center"/>
            </w:pPr>
            <w:r>
              <w:t>0%</w:t>
            </w:r>
          </w:p>
        </w:tc>
      </w:tr>
      <w:tr w:rsidR="004814D8" w14:paraId="20F05413" w14:textId="77777777">
        <w:trPr>
          <w:trHeight w:val="432"/>
        </w:trPr>
        <w:tc>
          <w:tcPr>
            <w:tcW w:w="3226" w:type="dxa"/>
            <w:vAlign w:val="center"/>
          </w:tcPr>
          <w:p w14:paraId="41A92C89" w14:textId="77777777" w:rsidR="004814D8" w:rsidRDefault="00000000">
            <w:pPr>
              <w:pBdr>
                <w:top w:val="nil"/>
                <w:left w:val="nil"/>
                <w:bottom w:val="nil"/>
                <w:right w:val="nil"/>
                <w:between w:val="nil"/>
              </w:pBdr>
              <w:jc w:val="center"/>
              <w:rPr>
                <w:color w:val="000000"/>
                <w:sz w:val="22"/>
                <w:szCs w:val="22"/>
              </w:rPr>
            </w:pPr>
            <w:r>
              <w:rPr>
                <w:b/>
                <w:color w:val="000000"/>
                <w:sz w:val="22"/>
                <w:szCs w:val="22"/>
              </w:rPr>
              <w:t>Scholarship Fund</w:t>
            </w:r>
          </w:p>
        </w:tc>
        <w:tc>
          <w:tcPr>
            <w:tcW w:w="2304" w:type="dxa"/>
            <w:vAlign w:val="center"/>
          </w:tcPr>
          <w:p w14:paraId="121E536C" w14:textId="77777777" w:rsidR="004814D8" w:rsidRDefault="00000000">
            <w:pPr>
              <w:jc w:val="center"/>
            </w:pPr>
            <w:r>
              <w:t>0% to 100%</w:t>
            </w:r>
          </w:p>
        </w:tc>
        <w:tc>
          <w:tcPr>
            <w:tcW w:w="2023" w:type="dxa"/>
            <w:vAlign w:val="center"/>
          </w:tcPr>
          <w:p w14:paraId="30730CEF" w14:textId="77777777" w:rsidR="004814D8" w:rsidRDefault="00000000">
            <w:pPr>
              <w:jc w:val="center"/>
            </w:pPr>
            <w:r>
              <w:t>0% to 100%</w:t>
            </w:r>
          </w:p>
        </w:tc>
        <w:tc>
          <w:tcPr>
            <w:tcW w:w="2023" w:type="dxa"/>
            <w:vAlign w:val="center"/>
          </w:tcPr>
          <w:p w14:paraId="48C3F73A" w14:textId="77777777" w:rsidR="004814D8" w:rsidRDefault="00000000">
            <w:pPr>
              <w:jc w:val="center"/>
            </w:pPr>
            <w:r>
              <w:t>0%</w:t>
            </w:r>
          </w:p>
        </w:tc>
      </w:tr>
      <w:tr w:rsidR="004814D8" w14:paraId="70012F07" w14:textId="77777777">
        <w:trPr>
          <w:trHeight w:val="432"/>
        </w:trPr>
        <w:tc>
          <w:tcPr>
            <w:tcW w:w="3226" w:type="dxa"/>
            <w:vAlign w:val="center"/>
          </w:tcPr>
          <w:p w14:paraId="3ED614E0" w14:textId="77777777" w:rsidR="004814D8" w:rsidRDefault="00000000">
            <w:pPr>
              <w:jc w:val="center"/>
            </w:pPr>
            <w:r>
              <w:rPr>
                <w:b/>
              </w:rPr>
              <w:t>Endowment</w:t>
            </w:r>
          </w:p>
        </w:tc>
        <w:tc>
          <w:tcPr>
            <w:tcW w:w="2304" w:type="dxa"/>
            <w:vAlign w:val="center"/>
          </w:tcPr>
          <w:p w14:paraId="35EBA327" w14:textId="77777777" w:rsidR="004814D8" w:rsidRDefault="00000000">
            <w:pPr>
              <w:jc w:val="center"/>
            </w:pPr>
            <w:r>
              <w:t>4% to 10%</w:t>
            </w:r>
          </w:p>
        </w:tc>
        <w:tc>
          <w:tcPr>
            <w:tcW w:w="2023" w:type="dxa"/>
            <w:vAlign w:val="center"/>
          </w:tcPr>
          <w:p w14:paraId="2BDED77A" w14:textId="77777777" w:rsidR="004814D8" w:rsidRDefault="00000000">
            <w:pPr>
              <w:jc w:val="center"/>
            </w:pPr>
            <w:r>
              <w:t>40% to 60%</w:t>
            </w:r>
          </w:p>
        </w:tc>
        <w:tc>
          <w:tcPr>
            <w:tcW w:w="2023" w:type="dxa"/>
            <w:vAlign w:val="center"/>
          </w:tcPr>
          <w:p w14:paraId="1EFD21AA" w14:textId="77777777" w:rsidR="004814D8" w:rsidRDefault="00000000">
            <w:pPr>
              <w:jc w:val="center"/>
            </w:pPr>
            <w:r>
              <w:t>40% to 60%</w:t>
            </w:r>
          </w:p>
        </w:tc>
      </w:tr>
      <w:tr w:rsidR="004814D8" w14:paraId="68ABE2DC" w14:textId="77777777">
        <w:trPr>
          <w:trHeight w:val="432"/>
        </w:trPr>
        <w:tc>
          <w:tcPr>
            <w:tcW w:w="3226" w:type="dxa"/>
            <w:vAlign w:val="center"/>
          </w:tcPr>
          <w:p w14:paraId="78760930" w14:textId="77777777" w:rsidR="004814D8" w:rsidRDefault="00000000">
            <w:pPr>
              <w:pBdr>
                <w:top w:val="nil"/>
                <w:left w:val="nil"/>
                <w:bottom w:val="nil"/>
                <w:right w:val="nil"/>
                <w:between w:val="nil"/>
              </w:pBdr>
              <w:jc w:val="center"/>
              <w:rPr>
                <w:color w:val="000000"/>
              </w:rPr>
            </w:pPr>
            <w:r>
              <w:rPr>
                <w:b/>
                <w:color w:val="000000"/>
                <w:sz w:val="22"/>
                <w:szCs w:val="22"/>
              </w:rPr>
              <w:t>Other</w:t>
            </w:r>
          </w:p>
        </w:tc>
        <w:tc>
          <w:tcPr>
            <w:tcW w:w="2304" w:type="dxa"/>
            <w:vAlign w:val="center"/>
          </w:tcPr>
          <w:p w14:paraId="634B7B22" w14:textId="77777777" w:rsidR="004814D8" w:rsidRDefault="00000000">
            <w:pPr>
              <w:jc w:val="center"/>
            </w:pPr>
            <w:r>
              <w:t>0% to 100%</w:t>
            </w:r>
          </w:p>
        </w:tc>
        <w:tc>
          <w:tcPr>
            <w:tcW w:w="2023" w:type="dxa"/>
            <w:vAlign w:val="center"/>
          </w:tcPr>
          <w:p w14:paraId="61BFBB90" w14:textId="77777777" w:rsidR="004814D8" w:rsidRDefault="00000000">
            <w:pPr>
              <w:jc w:val="center"/>
            </w:pPr>
            <w:r>
              <w:t>0% to 100%</w:t>
            </w:r>
          </w:p>
        </w:tc>
        <w:tc>
          <w:tcPr>
            <w:tcW w:w="2023" w:type="dxa"/>
            <w:vAlign w:val="center"/>
          </w:tcPr>
          <w:p w14:paraId="138B78F4" w14:textId="77777777" w:rsidR="004814D8" w:rsidRDefault="00000000">
            <w:pPr>
              <w:jc w:val="center"/>
            </w:pPr>
            <w:r>
              <w:t>40% to 80%</w:t>
            </w:r>
          </w:p>
        </w:tc>
      </w:tr>
    </w:tbl>
    <w:p w14:paraId="252AF0EF" w14:textId="77777777" w:rsidR="004814D8" w:rsidRDefault="004814D8"/>
    <w:p w14:paraId="12EB2F95" w14:textId="77777777" w:rsidR="000D2A60" w:rsidRDefault="000D2A60">
      <w:pPr>
        <w:rPr>
          <w:b/>
        </w:rPr>
      </w:pPr>
      <w:r>
        <w:rPr>
          <w:b/>
        </w:rPr>
        <w:br w:type="page"/>
      </w:r>
    </w:p>
    <w:p w14:paraId="7B69C096" w14:textId="1DE26FE4" w:rsidR="004814D8" w:rsidRDefault="00000000">
      <w:r>
        <w:rPr>
          <w:b/>
        </w:rPr>
        <w:lastRenderedPageBreak/>
        <w:t>VII</w:t>
      </w:r>
      <w:r>
        <w:rPr>
          <w:b/>
        </w:rPr>
        <w:tab/>
        <w:t>Permitted Sub-Asset Classes</w:t>
      </w:r>
    </w:p>
    <w:p w14:paraId="230E2A70" w14:textId="77777777" w:rsidR="004814D8" w:rsidRDefault="004814D8"/>
    <w:p w14:paraId="717ECC8C" w14:textId="77777777" w:rsidR="004814D8" w:rsidRDefault="00000000">
      <w:r>
        <w:t>The following asset sub-classes are permitted:</w:t>
      </w:r>
    </w:p>
    <w:p w14:paraId="287A0A1A" w14:textId="77777777" w:rsidR="004814D8" w:rsidRDefault="004814D8"/>
    <w:tbl>
      <w:tblPr>
        <w:tblStyle w:val="a1"/>
        <w:tblW w:w="6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4605"/>
      </w:tblGrid>
      <w:tr w:rsidR="004814D8" w14:paraId="66BECFC3" w14:textId="77777777">
        <w:trPr>
          <w:cantSplit/>
          <w:trHeight w:val="276"/>
        </w:trPr>
        <w:tc>
          <w:tcPr>
            <w:tcW w:w="2025" w:type="dxa"/>
            <w:shd w:val="clear" w:color="auto" w:fill="auto"/>
            <w:tcMar>
              <w:top w:w="100" w:type="dxa"/>
              <w:left w:w="100" w:type="dxa"/>
              <w:bottom w:w="100" w:type="dxa"/>
              <w:right w:w="100" w:type="dxa"/>
            </w:tcMar>
          </w:tcPr>
          <w:p w14:paraId="6CE24901" w14:textId="77777777" w:rsidR="004814D8" w:rsidRDefault="00000000">
            <w:pPr>
              <w:widowControl w:val="0"/>
              <w:pBdr>
                <w:top w:val="nil"/>
                <w:left w:val="nil"/>
                <w:bottom w:val="nil"/>
                <w:right w:val="nil"/>
                <w:between w:val="nil"/>
              </w:pBdr>
              <w:rPr>
                <w:b/>
              </w:rPr>
            </w:pPr>
            <w:r>
              <w:rPr>
                <w:b/>
              </w:rPr>
              <w:t>Asset Class</w:t>
            </w:r>
          </w:p>
        </w:tc>
        <w:tc>
          <w:tcPr>
            <w:tcW w:w="4605" w:type="dxa"/>
            <w:shd w:val="clear" w:color="auto" w:fill="auto"/>
            <w:tcMar>
              <w:top w:w="100" w:type="dxa"/>
              <w:left w:w="100" w:type="dxa"/>
              <w:bottom w:w="100" w:type="dxa"/>
              <w:right w:w="100" w:type="dxa"/>
            </w:tcMar>
          </w:tcPr>
          <w:p w14:paraId="4017A918" w14:textId="77777777" w:rsidR="004814D8" w:rsidRDefault="00000000">
            <w:pPr>
              <w:widowControl w:val="0"/>
              <w:pBdr>
                <w:top w:val="nil"/>
                <w:left w:val="nil"/>
                <w:bottom w:val="nil"/>
                <w:right w:val="nil"/>
                <w:between w:val="nil"/>
              </w:pBdr>
              <w:rPr>
                <w:b/>
              </w:rPr>
            </w:pPr>
            <w:r>
              <w:rPr>
                <w:b/>
              </w:rPr>
              <w:t>Sub-Asset Class</w:t>
            </w:r>
          </w:p>
        </w:tc>
      </w:tr>
      <w:tr w:rsidR="004814D8" w14:paraId="782B944D" w14:textId="77777777">
        <w:trPr>
          <w:cantSplit/>
          <w:trHeight w:val="213"/>
        </w:trPr>
        <w:tc>
          <w:tcPr>
            <w:tcW w:w="2025" w:type="dxa"/>
            <w:vMerge w:val="restart"/>
            <w:shd w:val="clear" w:color="auto" w:fill="auto"/>
            <w:tcMar>
              <w:top w:w="100" w:type="dxa"/>
              <w:left w:w="100" w:type="dxa"/>
              <w:bottom w:w="100" w:type="dxa"/>
              <w:right w:w="100" w:type="dxa"/>
            </w:tcMar>
          </w:tcPr>
          <w:p w14:paraId="41356812" w14:textId="77777777" w:rsidR="004814D8" w:rsidRDefault="00000000">
            <w:pPr>
              <w:widowControl w:val="0"/>
              <w:pBdr>
                <w:top w:val="nil"/>
                <w:left w:val="nil"/>
                <w:bottom w:val="nil"/>
                <w:right w:val="nil"/>
                <w:between w:val="nil"/>
              </w:pBdr>
            </w:pPr>
            <w:r>
              <w:t>Fixed Income</w:t>
            </w:r>
          </w:p>
        </w:tc>
        <w:tc>
          <w:tcPr>
            <w:tcW w:w="4605" w:type="dxa"/>
            <w:shd w:val="clear" w:color="auto" w:fill="auto"/>
            <w:tcMar>
              <w:top w:w="100" w:type="dxa"/>
              <w:left w:w="100" w:type="dxa"/>
              <w:bottom w:w="100" w:type="dxa"/>
              <w:right w:w="100" w:type="dxa"/>
            </w:tcMar>
          </w:tcPr>
          <w:p w14:paraId="38E65A86" w14:textId="77777777" w:rsidR="004814D8" w:rsidRDefault="00000000">
            <w:pPr>
              <w:widowControl w:val="0"/>
              <w:pBdr>
                <w:top w:val="nil"/>
                <w:left w:val="nil"/>
                <w:bottom w:val="nil"/>
                <w:right w:val="nil"/>
                <w:between w:val="nil"/>
              </w:pBdr>
            </w:pPr>
            <w:r>
              <w:t>U.S. Treasuries</w:t>
            </w:r>
          </w:p>
        </w:tc>
      </w:tr>
      <w:tr w:rsidR="004814D8" w14:paraId="347A1505" w14:textId="77777777">
        <w:trPr>
          <w:cantSplit/>
          <w:trHeight w:val="276"/>
        </w:trPr>
        <w:tc>
          <w:tcPr>
            <w:tcW w:w="2025" w:type="dxa"/>
            <w:vMerge/>
            <w:shd w:val="clear" w:color="auto" w:fill="auto"/>
            <w:tcMar>
              <w:top w:w="100" w:type="dxa"/>
              <w:left w:w="100" w:type="dxa"/>
              <w:bottom w:w="100" w:type="dxa"/>
              <w:right w:w="100" w:type="dxa"/>
            </w:tcMar>
          </w:tcPr>
          <w:p w14:paraId="3AE55512" w14:textId="77777777" w:rsidR="004814D8" w:rsidRDefault="004814D8">
            <w:pPr>
              <w:widowControl w:val="0"/>
              <w:pBdr>
                <w:top w:val="nil"/>
                <w:left w:val="nil"/>
                <w:bottom w:val="nil"/>
                <w:right w:val="nil"/>
                <w:between w:val="nil"/>
              </w:pBdr>
              <w:spacing w:line="276" w:lineRule="auto"/>
            </w:pPr>
          </w:p>
        </w:tc>
        <w:tc>
          <w:tcPr>
            <w:tcW w:w="4605" w:type="dxa"/>
            <w:shd w:val="clear" w:color="auto" w:fill="auto"/>
            <w:tcMar>
              <w:top w:w="100" w:type="dxa"/>
              <w:left w:w="100" w:type="dxa"/>
              <w:bottom w:w="100" w:type="dxa"/>
              <w:right w:w="100" w:type="dxa"/>
            </w:tcMar>
          </w:tcPr>
          <w:p w14:paraId="0AFD5A33" w14:textId="77777777" w:rsidR="004814D8" w:rsidRDefault="00000000">
            <w:pPr>
              <w:widowControl w:val="0"/>
              <w:pBdr>
                <w:top w:val="nil"/>
                <w:left w:val="nil"/>
                <w:bottom w:val="nil"/>
                <w:right w:val="nil"/>
                <w:between w:val="nil"/>
              </w:pBdr>
            </w:pPr>
            <w:r>
              <w:t>U.S. Agency</w:t>
            </w:r>
          </w:p>
        </w:tc>
      </w:tr>
      <w:tr w:rsidR="004814D8" w14:paraId="6405436D" w14:textId="77777777">
        <w:trPr>
          <w:cantSplit/>
          <w:trHeight w:val="276"/>
        </w:trPr>
        <w:tc>
          <w:tcPr>
            <w:tcW w:w="2025" w:type="dxa"/>
            <w:vMerge/>
            <w:shd w:val="clear" w:color="auto" w:fill="auto"/>
            <w:tcMar>
              <w:top w:w="100" w:type="dxa"/>
              <w:left w:w="100" w:type="dxa"/>
              <w:bottom w:w="100" w:type="dxa"/>
              <w:right w:w="100" w:type="dxa"/>
            </w:tcMar>
          </w:tcPr>
          <w:p w14:paraId="4A852706" w14:textId="77777777" w:rsidR="004814D8" w:rsidRDefault="004814D8">
            <w:pPr>
              <w:widowControl w:val="0"/>
              <w:pBdr>
                <w:top w:val="nil"/>
                <w:left w:val="nil"/>
                <w:bottom w:val="nil"/>
                <w:right w:val="nil"/>
                <w:between w:val="nil"/>
              </w:pBdr>
              <w:spacing w:line="276" w:lineRule="auto"/>
            </w:pPr>
          </w:p>
        </w:tc>
        <w:tc>
          <w:tcPr>
            <w:tcW w:w="4605" w:type="dxa"/>
            <w:shd w:val="clear" w:color="auto" w:fill="auto"/>
            <w:tcMar>
              <w:top w:w="100" w:type="dxa"/>
              <w:left w:w="100" w:type="dxa"/>
              <w:bottom w:w="100" w:type="dxa"/>
              <w:right w:w="100" w:type="dxa"/>
            </w:tcMar>
          </w:tcPr>
          <w:p w14:paraId="7136F295" w14:textId="77777777" w:rsidR="004814D8" w:rsidRDefault="00000000">
            <w:pPr>
              <w:widowControl w:val="0"/>
              <w:pBdr>
                <w:top w:val="nil"/>
                <w:left w:val="nil"/>
                <w:bottom w:val="nil"/>
                <w:right w:val="nil"/>
                <w:between w:val="nil"/>
              </w:pBdr>
            </w:pPr>
            <w:r>
              <w:t>Investment-Grade Corporate Bonds</w:t>
            </w:r>
          </w:p>
        </w:tc>
      </w:tr>
      <w:tr w:rsidR="004814D8" w14:paraId="0D9492F1" w14:textId="77777777">
        <w:trPr>
          <w:cantSplit/>
          <w:trHeight w:val="276"/>
        </w:trPr>
        <w:tc>
          <w:tcPr>
            <w:tcW w:w="2025" w:type="dxa"/>
            <w:vMerge/>
            <w:shd w:val="clear" w:color="auto" w:fill="auto"/>
            <w:tcMar>
              <w:top w:w="100" w:type="dxa"/>
              <w:left w:w="100" w:type="dxa"/>
              <w:bottom w:w="100" w:type="dxa"/>
              <w:right w:w="100" w:type="dxa"/>
            </w:tcMar>
          </w:tcPr>
          <w:p w14:paraId="38F88BD5" w14:textId="77777777" w:rsidR="004814D8" w:rsidRDefault="004814D8">
            <w:pPr>
              <w:widowControl w:val="0"/>
              <w:pBdr>
                <w:top w:val="nil"/>
                <w:left w:val="nil"/>
                <w:bottom w:val="nil"/>
                <w:right w:val="nil"/>
                <w:between w:val="nil"/>
              </w:pBdr>
              <w:spacing w:line="276" w:lineRule="auto"/>
            </w:pPr>
          </w:p>
        </w:tc>
        <w:tc>
          <w:tcPr>
            <w:tcW w:w="4605" w:type="dxa"/>
            <w:shd w:val="clear" w:color="auto" w:fill="auto"/>
            <w:tcMar>
              <w:top w:w="100" w:type="dxa"/>
              <w:left w:w="100" w:type="dxa"/>
              <w:bottom w:w="100" w:type="dxa"/>
              <w:right w:w="100" w:type="dxa"/>
            </w:tcMar>
          </w:tcPr>
          <w:p w14:paraId="32193F0D" w14:textId="77777777" w:rsidR="004814D8" w:rsidRDefault="00000000">
            <w:pPr>
              <w:widowControl w:val="0"/>
              <w:pBdr>
                <w:top w:val="nil"/>
                <w:left w:val="nil"/>
                <w:bottom w:val="nil"/>
                <w:right w:val="nil"/>
                <w:between w:val="nil"/>
              </w:pBdr>
            </w:pPr>
            <w:r>
              <w:t xml:space="preserve">Global Bonds Ex-U.S. </w:t>
            </w:r>
          </w:p>
        </w:tc>
      </w:tr>
      <w:tr w:rsidR="004814D8" w14:paraId="4B0D7BF5" w14:textId="77777777">
        <w:trPr>
          <w:cantSplit/>
          <w:trHeight w:val="276"/>
        </w:trPr>
        <w:tc>
          <w:tcPr>
            <w:tcW w:w="2025" w:type="dxa"/>
            <w:vMerge w:val="restart"/>
            <w:shd w:val="clear" w:color="auto" w:fill="auto"/>
            <w:tcMar>
              <w:top w:w="100" w:type="dxa"/>
              <w:left w:w="100" w:type="dxa"/>
              <w:bottom w:w="100" w:type="dxa"/>
              <w:right w:w="100" w:type="dxa"/>
            </w:tcMar>
          </w:tcPr>
          <w:p w14:paraId="17D5EA64" w14:textId="77777777" w:rsidR="004814D8" w:rsidRDefault="00000000">
            <w:pPr>
              <w:widowControl w:val="0"/>
              <w:pBdr>
                <w:top w:val="nil"/>
                <w:left w:val="nil"/>
                <w:bottom w:val="nil"/>
                <w:right w:val="nil"/>
                <w:between w:val="nil"/>
              </w:pBdr>
            </w:pPr>
            <w:r>
              <w:t>Equity</w:t>
            </w:r>
          </w:p>
        </w:tc>
        <w:tc>
          <w:tcPr>
            <w:tcW w:w="4605" w:type="dxa"/>
            <w:shd w:val="clear" w:color="auto" w:fill="auto"/>
            <w:tcMar>
              <w:top w:w="100" w:type="dxa"/>
              <w:left w:w="100" w:type="dxa"/>
              <w:bottom w:w="100" w:type="dxa"/>
              <w:right w:w="100" w:type="dxa"/>
            </w:tcMar>
          </w:tcPr>
          <w:p w14:paraId="048DB2B5" w14:textId="77777777" w:rsidR="004814D8" w:rsidRDefault="00000000">
            <w:pPr>
              <w:widowControl w:val="0"/>
              <w:pBdr>
                <w:top w:val="nil"/>
                <w:left w:val="nil"/>
                <w:bottom w:val="nil"/>
                <w:right w:val="nil"/>
                <w:between w:val="nil"/>
              </w:pBdr>
            </w:pPr>
            <w:r>
              <w:t>U.S. Large Cap Blend</w:t>
            </w:r>
          </w:p>
        </w:tc>
      </w:tr>
      <w:tr w:rsidR="004814D8" w14:paraId="1AD6724F" w14:textId="77777777">
        <w:trPr>
          <w:cantSplit/>
          <w:trHeight w:val="276"/>
        </w:trPr>
        <w:tc>
          <w:tcPr>
            <w:tcW w:w="2025" w:type="dxa"/>
            <w:vMerge/>
            <w:shd w:val="clear" w:color="auto" w:fill="auto"/>
            <w:tcMar>
              <w:top w:w="100" w:type="dxa"/>
              <w:left w:w="100" w:type="dxa"/>
              <w:bottom w:w="100" w:type="dxa"/>
              <w:right w:w="100" w:type="dxa"/>
            </w:tcMar>
          </w:tcPr>
          <w:p w14:paraId="5F59344D" w14:textId="77777777" w:rsidR="004814D8" w:rsidRDefault="004814D8">
            <w:pPr>
              <w:widowControl w:val="0"/>
              <w:pBdr>
                <w:top w:val="nil"/>
                <w:left w:val="nil"/>
                <w:bottom w:val="nil"/>
                <w:right w:val="nil"/>
                <w:between w:val="nil"/>
              </w:pBdr>
              <w:spacing w:line="276" w:lineRule="auto"/>
            </w:pPr>
          </w:p>
        </w:tc>
        <w:tc>
          <w:tcPr>
            <w:tcW w:w="4605" w:type="dxa"/>
            <w:shd w:val="clear" w:color="auto" w:fill="auto"/>
            <w:tcMar>
              <w:top w:w="100" w:type="dxa"/>
              <w:left w:w="100" w:type="dxa"/>
              <w:bottom w:w="100" w:type="dxa"/>
              <w:right w:w="100" w:type="dxa"/>
            </w:tcMar>
          </w:tcPr>
          <w:p w14:paraId="7C38670E" w14:textId="77777777" w:rsidR="004814D8" w:rsidRDefault="00000000">
            <w:pPr>
              <w:widowControl w:val="0"/>
              <w:pBdr>
                <w:top w:val="nil"/>
                <w:left w:val="nil"/>
                <w:bottom w:val="nil"/>
                <w:right w:val="nil"/>
                <w:between w:val="nil"/>
              </w:pBdr>
            </w:pPr>
            <w:r>
              <w:t>U.S. Mid-Cap Blend</w:t>
            </w:r>
          </w:p>
        </w:tc>
      </w:tr>
      <w:tr w:rsidR="004814D8" w14:paraId="4B70DA46" w14:textId="77777777">
        <w:trPr>
          <w:cantSplit/>
          <w:trHeight w:val="276"/>
        </w:trPr>
        <w:tc>
          <w:tcPr>
            <w:tcW w:w="2025" w:type="dxa"/>
            <w:vMerge/>
            <w:shd w:val="clear" w:color="auto" w:fill="auto"/>
            <w:tcMar>
              <w:top w:w="100" w:type="dxa"/>
              <w:left w:w="100" w:type="dxa"/>
              <w:bottom w:w="100" w:type="dxa"/>
              <w:right w:w="100" w:type="dxa"/>
            </w:tcMar>
          </w:tcPr>
          <w:p w14:paraId="2FEBFBAB" w14:textId="77777777" w:rsidR="004814D8" w:rsidRDefault="004814D8">
            <w:pPr>
              <w:widowControl w:val="0"/>
              <w:pBdr>
                <w:top w:val="nil"/>
                <w:left w:val="nil"/>
                <w:bottom w:val="nil"/>
                <w:right w:val="nil"/>
                <w:between w:val="nil"/>
              </w:pBdr>
              <w:spacing w:line="276" w:lineRule="auto"/>
            </w:pPr>
          </w:p>
        </w:tc>
        <w:tc>
          <w:tcPr>
            <w:tcW w:w="4605" w:type="dxa"/>
            <w:shd w:val="clear" w:color="auto" w:fill="auto"/>
            <w:tcMar>
              <w:top w:w="100" w:type="dxa"/>
              <w:left w:w="100" w:type="dxa"/>
              <w:bottom w:w="100" w:type="dxa"/>
              <w:right w:w="100" w:type="dxa"/>
            </w:tcMar>
          </w:tcPr>
          <w:p w14:paraId="0B22A717" w14:textId="77777777" w:rsidR="004814D8" w:rsidRDefault="00000000">
            <w:pPr>
              <w:widowControl w:val="0"/>
              <w:pBdr>
                <w:top w:val="nil"/>
                <w:left w:val="nil"/>
                <w:bottom w:val="nil"/>
                <w:right w:val="nil"/>
                <w:between w:val="nil"/>
              </w:pBdr>
            </w:pPr>
            <w:r>
              <w:t>U.S. Small-Cap Blend</w:t>
            </w:r>
          </w:p>
        </w:tc>
      </w:tr>
      <w:tr w:rsidR="004814D8" w14:paraId="2DA6314F" w14:textId="77777777">
        <w:trPr>
          <w:cantSplit/>
          <w:trHeight w:val="276"/>
        </w:trPr>
        <w:tc>
          <w:tcPr>
            <w:tcW w:w="2025" w:type="dxa"/>
            <w:vMerge/>
            <w:shd w:val="clear" w:color="auto" w:fill="auto"/>
            <w:tcMar>
              <w:top w:w="100" w:type="dxa"/>
              <w:left w:w="100" w:type="dxa"/>
              <w:bottom w:w="100" w:type="dxa"/>
              <w:right w:w="100" w:type="dxa"/>
            </w:tcMar>
          </w:tcPr>
          <w:p w14:paraId="43727CC1" w14:textId="77777777" w:rsidR="004814D8" w:rsidRDefault="004814D8">
            <w:pPr>
              <w:widowControl w:val="0"/>
              <w:pBdr>
                <w:top w:val="nil"/>
                <w:left w:val="nil"/>
                <w:bottom w:val="nil"/>
                <w:right w:val="nil"/>
                <w:between w:val="nil"/>
              </w:pBdr>
              <w:spacing w:line="276" w:lineRule="auto"/>
            </w:pPr>
          </w:p>
        </w:tc>
        <w:tc>
          <w:tcPr>
            <w:tcW w:w="4605" w:type="dxa"/>
            <w:shd w:val="clear" w:color="auto" w:fill="auto"/>
            <w:tcMar>
              <w:top w:w="100" w:type="dxa"/>
              <w:left w:w="100" w:type="dxa"/>
              <w:bottom w:w="100" w:type="dxa"/>
              <w:right w:w="100" w:type="dxa"/>
            </w:tcMar>
          </w:tcPr>
          <w:p w14:paraId="1A28E357" w14:textId="77777777" w:rsidR="004814D8" w:rsidRDefault="00000000">
            <w:pPr>
              <w:widowControl w:val="0"/>
              <w:pBdr>
                <w:top w:val="nil"/>
                <w:left w:val="nil"/>
                <w:bottom w:val="nil"/>
                <w:right w:val="nil"/>
                <w:between w:val="nil"/>
              </w:pBdr>
            </w:pPr>
            <w:r>
              <w:t>Developed International</w:t>
            </w:r>
          </w:p>
        </w:tc>
      </w:tr>
      <w:tr w:rsidR="004814D8" w14:paraId="02641083" w14:textId="77777777">
        <w:trPr>
          <w:cantSplit/>
          <w:trHeight w:val="276"/>
        </w:trPr>
        <w:tc>
          <w:tcPr>
            <w:tcW w:w="2025" w:type="dxa"/>
            <w:vMerge/>
            <w:shd w:val="clear" w:color="auto" w:fill="auto"/>
            <w:tcMar>
              <w:top w:w="100" w:type="dxa"/>
              <w:left w:w="100" w:type="dxa"/>
              <w:bottom w:w="100" w:type="dxa"/>
              <w:right w:w="100" w:type="dxa"/>
            </w:tcMar>
          </w:tcPr>
          <w:p w14:paraId="5BBE8016" w14:textId="77777777" w:rsidR="004814D8" w:rsidRDefault="004814D8">
            <w:pPr>
              <w:widowControl w:val="0"/>
              <w:pBdr>
                <w:top w:val="nil"/>
                <w:left w:val="nil"/>
                <w:bottom w:val="nil"/>
                <w:right w:val="nil"/>
                <w:between w:val="nil"/>
              </w:pBdr>
              <w:spacing w:line="276" w:lineRule="auto"/>
            </w:pPr>
          </w:p>
        </w:tc>
        <w:tc>
          <w:tcPr>
            <w:tcW w:w="4605" w:type="dxa"/>
            <w:shd w:val="clear" w:color="auto" w:fill="auto"/>
            <w:tcMar>
              <w:top w:w="100" w:type="dxa"/>
              <w:left w:w="100" w:type="dxa"/>
              <w:bottom w:w="100" w:type="dxa"/>
              <w:right w:w="100" w:type="dxa"/>
            </w:tcMar>
          </w:tcPr>
          <w:p w14:paraId="3644A469" w14:textId="77777777" w:rsidR="004814D8" w:rsidRDefault="00000000">
            <w:pPr>
              <w:widowControl w:val="0"/>
              <w:pBdr>
                <w:top w:val="nil"/>
                <w:left w:val="nil"/>
                <w:bottom w:val="nil"/>
                <w:right w:val="nil"/>
                <w:between w:val="nil"/>
              </w:pBdr>
            </w:pPr>
            <w:r>
              <w:t>Emerging Markets</w:t>
            </w:r>
          </w:p>
        </w:tc>
      </w:tr>
      <w:tr w:rsidR="004814D8" w14:paraId="2C487F96" w14:textId="77777777">
        <w:trPr>
          <w:cantSplit/>
          <w:trHeight w:val="276"/>
        </w:trPr>
        <w:tc>
          <w:tcPr>
            <w:tcW w:w="2025" w:type="dxa"/>
            <w:vMerge/>
            <w:shd w:val="clear" w:color="auto" w:fill="auto"/>
            <w:tcMar>
              <w:top w:w="100" w:type="dxa"/>
              <w:left w:w="100" w:type="dxa"/>
              <w:bottom w:w="100" w:type="dxa"/>
              <w:right w:w="100" w:type="dxa"/>
            </w:tcMar>
          </w:tcPr>
          <w:p w14:paraId="53DA2630" w14:textId="77777777" w:rsidR="004814D8" w:rsidRDefault="004814D8">
            <w:pPr>
              <w:widowControl w:val="0"/>
              <w:pBdr>
                <w:top w:val="nil"/>
                <w:left w:val="nil"/>
                <w:bottom w:val="nil"/>
                <w:right w:val="nil"/>
                <w:between w:val="nil"/>
              </w:pBdr>
              <w:spacing w:line="276" w:lineRule="auto"/>
            </w:pPr>
          </w:p>
        </w:tc>
        <w:tc>
          <w:tcPr>
            <w:tcW w:w="4605" w:type="dxa"/>
            <w:shd w:val="clear" w:color="auto" w:fill="auto"/>
            <w:tcMar>
              <w:top w:w="100" w:type="dxa"/>
              <w:left w:w="100" w:type="dxa"/>
              <w:bottom w:w="100" w:type="dxa"/>
              <w:right w:w="100" w:type="dxa"/>
            </w:tcMar>
          </w:tcPr>
          <w:p w14:paraId="72F7ECE8" w14:textId="77777777" w:rsidR="004814D8" w:rsidRDefault="00000000">
            <w:pPr>
              <w:widowControl w:val="0"/>
              <w:pBdr>
                <w:top w:val="nil"/>
                <w:left w:val="nil"/>
                <w:bottom w:val="nil"/>
                <w:right w:val="nil"/>
                <w:between w:val="nil"/>
              </w:pBdr>
            </w:pPr>
            <w:r>
              <w:t>Specialty Real Estate</w:t>
            </w:r>
          </w:p>
        </w:tc>
      </w:tr>
    </w:tbl>
    <w:p w14:paraId="74536858" w14:textId="77777777" w:rsidR="004814D8" w:rsidRDefault="004814D8"/>
    <w:p w14:paraId="3ED6E36B" w14:textId="77777777" w:rsidR="004814D8" w:rsidRDefault="00000000">
      <w:pPr>
        <w:rPr>
          <w:b/>
        </w:rPr>
      </w:pPr>
      <w:r>
        <w:rPr>
          <w:b/>
        </w:rPr>
        <w:t>VIII</w:t>
      </w:r>
      <w:r>
        <w:rPr>
          <w:b/>
        </w:rPr>
        <w:tab/>
        <w:t>Prohibited Transaction and Security Types</w:t>
      </w:r>
    </w:p>
    <w:p w14:paraId="54DF45A1" w14:textId="77777777" w:rsidR="004814D8" w:rsidRDefault="004814D8"/>
    <w:p w14:paraId="147F0F74" w14:textId="77777777" w:rsidR="004814D8" w:rsidRDefault="00000000">
      <w:r>
        <w:t>Prohibited transactions and security types include, but are not limited to the following:</w:t>
      </w:r>
    </w:p>
    <w:p w14:paraId="69808013" w14:textId="77777777" w:rsidR="004814D8" w:rsidRDefault="00000000">
      <w:pPr>
        <w:numPr>
          <w:ilvl w:val="0"/>
          <w:numId w:val="5"/>
        </w:numPr>
      </w:pPr>
      <w:r>
        <w:t>Private Placement Offerings</w:t>
      </w:r>
    </w:p>
    <w:p w14:paraId="01BE35D1" w14:textId="77777777" w:rsidR="004814D8" w:rsidRDefault="00000000">
      <w:pPr>
        <w:numPr>
          <w:ilvl w:val="0"/>
          <w:numId w:val="5"/>
        </w:numPr>
      </w:pPr>
      <w:r>
        <w:t xml:space="preserve">Non-publicly traded securities or other closely held </w:t>
      </w:r>
      <w:proofErr w:type="gramStart"/>
      <w:r>
        <w:t>interests</w:t>
      </w:r>
      <w:proofErr w:type="gramEnd"/>
    </w:p>
    <w:p w14:paraId="79234F64" w14:textId="77777777" w:rsidR="004814D8" w:rsidRDefault="00000000">
      <w:pPr>
        <w:numPr>
          <w:ilvl w:val="0"/>
          <w:numId w:val="5"/>
        </w:numPr>
      </w:pPr>
      <w:r>
        <w:t xml:space="preserve">Individual Securities </w:t>
      </w:r>
    </w:p>
    <w:p w14:paraId="5AA99F92" w14:textId="77777777" w:rsidR="004814D8" w:rsidRDefault="00000000">
      <w:pPr>
        <w:numPr>
          <w:ilvl w:val="0"/>
          <w:numId w:val="5"/>
        </w:numPr>
      </w:pPr>
      <w:r>
        <w:t>Preferred Stock</w:t>
      </w:r>
    </w:p>
    <w:p w14:paraId="385B98B4" w14:textId="77777777" w:rsidR="004814D8" w:rsidRDefault="00000000">
      <w:pPr>
        <w:numPr>
          <w:ilvl w:val="0"/>
          <w:numId w:val="5"/>
        </w:numPr>
      </w:pPr>
      <w:r>
        <w:t>Margin Transactions</w:t>
      </w:r>
    </w:p>
    <w:p w14:paraId="2CFE041D" w14:textId="77777777" w:rsidR="004814D8" w:rsidRDefault="00000000">
      <w:pPr>
        <w:numPr>
          <w:ilvl w:val="0"/>
          <w:numId w:val="5"/>
        </w:numPr>
      </w:pPr>
      <w:r>
        <w:t>Short Sales</w:t>
      </w:r>
    </w:p>
    <w:p w14:paraId="27F09465" w14:textId="77777777" w:rsidR="004814D8" w:rsidRDefault="00000000">
      <w:pPr>
        <w:numPr>
          <w:ilvl w:val="0"/>
          <w:numId w:val="5"/>
        </w:numPr>
      </w:pPr>
      <w:r>
        <w:t>Commodities</w:t>
      </w:r>
    </w:p>
    <w:p w14:paraId="5379A196" w14:textId="77777777" w:rsidR="004814D8" w:rsidRDefault="00000000">
      <w:pPr>
        <w:numPr>
          <w:ilvl w:val="0"/>
          <w:numId w:val="5"/>
        </w:numPr>
      </w:pPr>
      <w:r>
        <w:t>Hedge Funds</w:t>
      </w:r>
    </w:p>
    <w:p w14:paraId="7C38C87C" w14:textId="77777777" w:rsidR="004814D8" w:rsidRDefault="00000000">
      <w:pPr>
        <w:numPr>
          <w:ilvl w:val="0"/>
          <w:numId w:val="5"/>
        </w:numPr>
      </w:pPr>
      <w:r>
        <w:t>Derivatives</w:t>
      </w:r>
    </w:p>
    <w:p w14:paraId="29704AD0" w14:textId="77777777" w:rsidR="004814D8" w:rsidRDefault="00000000">
      <w:pPr>
        <w:numPr>
          <w:ilvl w:val="0"/>
          <w:numId w:val="5"/>
        </w:numPr>
      </w:pPr>
      <w:r>
        <w:t>Crypto Currencies</w:t>
      </w:r>
      <w:r>
        <w:tab/>
      </w:r>
    </w:p>
    <w:p w14:paraId="53F2DA83" w14:textId="77777777" w:rsidR="004814D8" w:rsidRDefault="004814D8"/>
    <w:p w14:paraId="26B5C256" w14:textId="77777777" w:rsidR="004814D8" w:rsidRDefault="00000000">
      <w:r>
        <w:t xml:space="preserve">The list of prohibited transactions is not intended to preclude the acceptance of donations accepted by the Board in accordance with BGCCC’s Gift Acceptance Policy. </w:t>
      </w:r>
    </w:p>
    <w:p w14:paraId="25ED228E" w14:textId="77777777" w:rsidR="004814D8" w:rsidRDefault="004814D8">
      <w:pPr>
        <w:rPr>
          <w:b/>
        </w:rPr>
      </w:pPr>
    </w:p>
    <w:p w14:paraId="155355BD" w14:textId="77777777" w:rsidR="004814D8" w:rsidRDefault="00000000">
      <w:r>
        <w:rPr>
          <w:b/>
        </w:rPr>
        <w:t>IX</w:t>
      </w:r>
      <w:r>
        <w:rPr>
          <w:b/>
        </w:rPr>
        <w:tab/>
        <w:t>Rebalancing</w:t>
      </w:r>
    </w:p>
    <w:p w14:paraId="390CF752" w14:textId="77777777" w:rsidR="004814D8" w:rsidRDefault="004814D8"/>
    <w:p w14:paraId="4178DF74" w14:textId="77777777" w:rsidR="004814D8" w:rsidRDefault="00000000">
      <w:r>
        <w:t xml:space="preserve">The Committee seeks to rebalance investments no less than annually as market conditions and BGCCC’s needs change. If the Funds shift outside the approved annual asset allocation, the </w:t>
      </w:r>
      <w:r>
        <w:lastRenderedPageBreak/>
        <w:t>Committee is not obligated to rebalance more often than annually; the Funds may drop below or exceed the ranges in the asset allocation table above temporarily.</w:t>
      </w:r>
    </w:p>
    <w:p w14:paraId="552136BD" w14:textId="77777777" w:rsidR="004814D8" w:rsidRDefault="004814D8"/>
    <w:p w14:paraId="763DC314" w14:textId="77777777" w:rsidR="004814D8" w:rsidRDefault="00000000">
      <w:r>
        <w:rPr>
          <w:b/>
        </w:rPr>
        <w:t>X</w:t>
      </w:r>
      <w:r>
        <w:tab/>
      </w:r>
      <w:r>
        <w:rPr>
          <w:b/>
        </w:rPr>
        <w:t>Implementation</w:t>
      </w:r>
    </w:p>
    <w:p w14:paraId="3A71CEFA" w14:textId="77777777" w:rsidR="004814D8" w:rsidRDefault="004814D8"/>
    <w:p w14:paraId="3B1E1846" w14:textId="77777777" w:rsidR="004814D8" w:rsidRDefault="00000000">
      <w:pPr>
        <w:rPr>
          <w:color w:val="222222"/>
          <w:highlight w:val="white"/>
        </w:rPr>
      </w:pPr>
      <w:r>
        <w:rPr>
          <w:color w:val="222222"/>
          <w:highlight w:val="white"/>
        </w:rPr>
        <w:t xml:space="preserve">A strategy of dollar-cost averaging over </w:t>
      </w:r>
      <w:proofErr w:type="gramStart"/>
      <w:r>
        <w:rPr>
          <w:color w:val="222222"/>
          <w:highlight w:val="white"/>
        </w:rPr>
        <w:t>a time period</w:t>
      </w:r>
      <w:proofErr w:type="gramEnd"/>
      <w:r>
        <w:rPr>
          <w:color w:val="222222"/>
          <w:highlight w:val="white"/>
        </w:rPr>
        <w:t xml:space="preserve"> of three to 12 months shall generally be used to purchase non-fixed income investments of 10% or more of the Fund balance. Specific timing shall be recommended by the Committee and included in the asset allocation presented to the Board for approval.</w:t>
      </w:r>
    </w:p>
    <w:p w14:paraId="0C960BE7" w14:textId="77777777" w:rsidR="004814D8" w:rsidRDefault="004814D8"/>
    <w:p w14:paraId="7353418E" w14:textId="77777777" w:rsidR="004814D8" w:rsidRDefault="00000000">
      <w:r>
        <w:t>The Committee will consider the following due diligence criteria in selecting each asset manager, exchange-traded fund, or mutual fund.</w:t>
      </w:r>
    </w:p>
    <w:p w14:paraId="5C06DDF8" w14:textId="77777777" w:rsidR="004814D8" w:rsidRDefault="004814D8"/>
    <w:p w14:paraId="0E7E56D4" w14:textId="77777777" w:rsidR="004814D8" w:rsidRDefault="00000000">
      <w:pPr>
        <w:numPr>
          <w:ilvl w:val="1"/>
          <w:numId w:val="10"/>
        </w:numPr>
        <w:ind w:left="360" w:hanging="360"/>
      </w:pPr>
      <w:r>
        <w:t>Regulatory oversight:  Each investment should be managed by: (</w:t>
      </w:r>
      <w:proofErr w:type="spellStart"/>
      <w:r>
        <w:t>i</w:t>
      </w:r>
      <w:proofErr w:type="spellEnd"/>
      <w:r>
        <w:t xml:space="preserve">) a bank; (ii) an insurance company; (iii) a registered investment company (mutual fund); </w:t>
      </w:r>
      <w:proofErr w:type="gramStart"/>
      <w:r>
        <w:t>or,</w:t>
      </w:r>
      <w:proofErr w:type="gramEnd"/>
      <w:r>
        <w:t xml:space="preserve"> (</w:t>
      </w:r>
      <w:proofErr w:type="spellStart"/>
      <w:r>
        <w:t>iiii</w:t>
      </w:r>
      <w:proofErr w:type="spellEnd"/>
      <w:r>
        <w:t xml:space="preserve">) a registered investment adviser.  </w:t>
      </w:r>
    </w:p>
    <w:p w14:paraId="1FD5AD6D" w14:textId="77777777" w:rsidR="004814D8" w:rsidRDefault="00000000">
      <w:pPr>
        <w:numPr>
          <w:ilvl w:val="1"/>
          <w:numId w:val="10"/>
        </w:numPr>
        <w:ind w:left="360" w:hanging="360"/>
      </w:pPr>
      <w:r>
        <w:t>Correlation to style, benchmark or peer group:  The investment option should be highly correlated to the asset class being implemented.  This is one of the most critical parts of the analysis since most of the remaining due diligence involves comparisons of the investment to the appropriate benchmark.</w:t>
      </w:r>
    </w:p>
    <w:p w14:paraId="636B0118" w14:textId="77777777" w:rsidR="004814D8" w:rsidRDefault="00000000">
      <w:pPr>
        <w:numPr>
          <w:ilvl w:val="1"/>
          <w:numId w:val="10"/>
        </w:numPr>
        <w:ind w:left="360" w:hanging="360"/>
      </w:pPr>
      <w:r>
        <w:t xml:space="preserve">Performance relative to a benchmark:  The investment’s performance should be evaluated against the benchmark or peer group’s median manager return, for 1-, 3-, and 5-year cumulative periods. </w:t>
      </w:r>
    </w:p>
    <w:p w14:paraId="1B15CF09" w14:textId="77777777" w:rsidR="004814D8" w:rsidRDefault="00000000">
      <w:pPr>
        <w:numPr>
          <w:ilvl w:val="1"/>
          <w:numId w:val="10"/>
        </w:numPr>
        <w:ind w:left="360" w:hanging="360"/>
      </w:pPr>
      <w:r>
        <w:t xml:space="preserve"> Performance relative to assumed risk:  The investment option’s risk-adjusted performance (Alpha and/or Sharpe Ratio) should be evaluated against the benchmark or peer group’s median manager’s risk-adjusted performance.  </w:t>
      </w:r>
    </w:p>
    <w:p w14:paraId="2EB45387" w14:textId="77777777" w:rsidR="004814D8" w:rsidRDefault="00000000">
      <w:pPr>
        <w:numPr>
          <w:ilvl w:val="1"/>
          <w:numId w:val="10"/>
        </w:numPr>
        <w:ind w:left="360" w:hanging="360"/>
      </w:pPr>
      <w:r>
        <w:t xml:space="preserve">Minimum track record:  The investment option should have 3 years or more of history so that performance statistics can be properly calculated.  </w:t>
      </w:r>
    </w:p>
    <w:sdt>
      <w:sdtPr>
        <w:tag w:val="goog_rdk_4"/>
        <w:id w:val="230821282"/>
      </w:sdtPr>
      <w:sdtContent>
        <w:p w14:paraId="56F531EA" w14:textId="6921DF5E" w:rsidR="004814D8" w:rsidRDefault="00000000">
          <w:pPr>
            <w:numPr>
              <w:ilvl w:val="1"/>
              <w:numId w:val="10"/>
            </w:numPr>
            <w:ind w:left="360" w:hanging="360"/>
          </w:pPr>
          <w:r>
            <w:t xml:space="preserve">Fund size: Mutual funds and Exchange-Traded Funds (ETFs) should hold at least $75 million of assets under management to </w:t>
          </w:r>
          <w:sdt>
            <w:sdtPr>
              <w:tag w:val="goog_rdk_0"/>
              <w:id w:val="-1179889605"/>
            </w:sdtPr>
            <w:sdtContent>
              <w:r>
                <w:t>(1) help ensure a healthy number of potential trading counterparties, and (2) signal broader acceptance of the fund by the investing community.</w:t>
              </w:r>
            </w:sdtContent>
          </w:sdt>
          <w:sdt>
            <w:sdtPr>
              <w:tag w:val="goog_rdk_1"/>
              <w:id w:val="809671511"/>
              <w:showingPlcHdr/>
            </w:sdtPr>
            <w:sdtContent>
              <w:r w:rsidR="000D2A60">
                <w:t xml:space="preserve">     </w:t>
              </w:r>
            </w:sdtContent>
          </w:sdt>
          <w:sdt>
            <w:sdtPr>
              <w:tag w:val="goog_rdk_2"/>
              <w:id w:val="1227116281"/>
            </w:sdtPr>
            <w:sdtContent>
              <w:sdt>
                <w:sdtPr>
                  <w:tag w:val="goog_rdk_3"/>
                  <w:id w:val="-933201691"/>
                </w:sdtPr>
                <w:sdtContent/>
              </w:sdt>
            </w:sdtContent>
          </w:sdt>
        </w:p>
      </w:sdtContent>
    </w:sdt>
    <w:sdt>
      <w:sdtPr>
        <w:tag w:val="goog_rdk_7"/>
        <w:id w:val="2119789062"/>
      </w:sdtPr>
      <w:sdtContent>
        <w:p w14:paraId="1788CFFA" w14:textId="72B8ED75" w:rsidR="004814D8" w:rsidRDefault="00000000">
          <w:pPr>
            <w:numPr>
              <w:ilvl w:val="1"/>
              <w:numId w:val="10"/>
            </w:numPr>
            <w:ind w:left="360" w:hanging="360"/>
          </w:pPr>
          <w:sdt>
            <w:sdtPr>
              <w:tag w:val="goog_rdk_5"/>
              <w:id w:val="1521740849"/>
            </w:sdtPr>
            <w:sdtContent>
              <w:sdt>
                <w:sdtPr>
                  <w:tag w:val="goog_rdk_6"/>
                  <w:id w:val="1563133294"/>
                </w:sdtPr>
                <w:sdtContent>
                  <w:r>
                    <w:t xml:space="preserve">Trade Volume &amp; Bid/Ask Spread: Look for high trade volume and small bid/ask spreads in mutual funds and ETFs as indicators of liquidity, thereby making it easier to trade in and out of the fund and do so in a more </w:t>
                  </w:r>
                  <w:r w:rsidR="000D2A60">
                    <w:t>cost-efficient</w:t>
                  </w:r>
                  <w:r>
                    <w:t xml:space="preserve"> way.</w:t>
                  </w:r>
                </w:sdtContent>
              </w:sdt>
            </w:sdtContent>
          </w:sdt>
        </w:p>
      </w:sdtContent>
    </w:sdt>
    <w:p w14:paraId="769F67DC" w14:textId="77777777" w:rsidR="004814D8" w:rsidRDefault="00000000">
      <w:pPr>
        <w:numPr>
          <w:ilvl w:val="1"/>
          <w:numId w:val="10"/>
        </w:numPr>
        <w:ind w:left="360" w:hanging="360"/>
      </w:pPr>
      <w:r>
        <w:t>Holdings consistent with style:  The underlying securities of the investment option should be consistent with the associated broad asset class. At least 80% of the underlying securities should be consistent with the broad asset class.  For example, a Large-Cap Blend mutual fund or ETF should not hold more than 20% in cash, fixed income and/or international securities.</w:t>
      </w:r>
    </w:p>
    <w:p w14:paraId="5C604C0B" w14:textId="77777777" w:rsidR="004814D8" w:rsidRDefault="00000000">
      <w:pPr>
        <w:numPr>
          <w:ilvl w:val="1"/>
          <w:numId w:val="10"/>
        </w:numPr>
        <w:ind w:left="360" w:hanging="360"/>
      </w:pPr>
      <w:r>
        <w:t>Expense ratios/fees:  The investment option’s fees should be fair and reasonable.   Fees should not be in the bottom quartile (most expensive) of the peer group.</w:t>
      </w:r>
    </w:p>
    <w:p w14:paraId="75523C34" w14:textId="638D31FB" w:rsidR="004814D8" w:rsidRDefault="00000000">
      <w:pPr>
        <w:numPr>
          <w:ilvl w:val="1"/>
          <w:numId w:val="10"/>
        </w:numPr>
        <w:ind w:left="360" w:hanging="360"/>
      </w:pPr>
      <w:r>
        <w:t>Stability of the organization:  There should be no perceived organizational problems at the asset management company. The mutual fund or ETF management team should be in place for at least two years</w:t>
      </w:r>
      <w:sdt>
        <w:sdtPr>
          <w:tag w:val="goog_rdk_8"/>
          <w:id w:val="-1348703882"/>
        </w:sdtPr>
        <w:sdtContent>
          <w:r>
            <w:t xml:space="preserve"> at the time of purchase</w:t>
          </w:r>
        </w:sdtContent>
      </w:sdt>
      <w:r>
        <w:t>.</w:t>
      </w:r>
    </w:p>
    <w:p w14:paraId="6EDC7A8B" w14:textId="77777777" w:rsidR="004814D8" w:rsidRDefault="004814D8"/>
    <w:p w14:paraId="0B175594" w14:textId="77777777" w:rsidR="000D2A60" w:rsidRDefault="000D2A60">
      <w:pPr>
        <w:rPr>
          <w:b/>
        </w:rPr>
      </w:pPr>
      <w:r>
        <w:rPr>
          <w:b/>
        </w:rPr>
        <w:br w:type="page"/>
      </w:r>
    </w:p>
    <w:p w14:paraId="1B5616D1" w14:textId="12DB88AF" w:rsidR="004814D8" w:rsidRDefault="00000000">
      <w:r>
        <w:rPr>
          <w:b/>
        </w:rPr>
        <w:lastRenderedPageBreak/>
        <w:t xml:space="preserve">XI </w:t>
      </w:r>
      <w:r>
        <w:rPr>
          <w:b/>
        </w:rPr>
        <w:tab/>
        <w:t>Monitoring Performance Objectives</w:t>
      </w:r>
    </w:p>
    <w:p w14:paraId="50B60E31" w14:textId="77777777" w:rsidR="004814D8" w:rsidRDefault="00000000">
      <w:r>
        <w:tab/>
      </w:r>
    </w:p>
    <w:p w14:paraId="734B4577" w14:textId="77777777" w:rsidR="004814D8" w:rsidRDefault="00000000">
      <w:r>
        <w:t xml:space="preserve">Fluctuating rates of return characterize the securities markets, particularly during short-term time periods.  Recognizing that short-term fluctuations may cause variations in </w:t>
      </w:r>
      <w:proofErr w:type="gramStart"/>
      <w:r>
        <w:t>performance,</w:t>
      </w:r>
      <w:proofErr w:type="gramEnd"/>
      <w:r>
        <w:t xml:space="preserve"> the Committee members intend to evaluate Fund investment performance from a long-term perspective.</w:t>
      </w:r>
    </w:p>
    <w:p w14:paraId="29B4D401" w14:textId="77777777" w:rsidR="004814D8" w:rsidRDefault="004814D8"/>
    <w:p w14:paraId="1935E1E3" w14:textId="77777777" w:rsidR="004814D8" w:rsidRDefault="00000000">
      <w:r>
        <w:t>The Committee members are aware the ongoing review and analysis of the investment options is just as important as the due diligence process.  The performance of the investment options will be monitored on an ongoing basis. On a timely basis, but not less than semi-annually, the Committee will meet to review whether each investment continues to conform to the search criteria outlined in the Implementation section; specifically:</w:t>
      </w:r>
    </w:p>
    <w:p w14:paraId="43278BCB" w14:textId="77777777" w:rsidR="004814D8" w:rsidRDefault="004814D8"/>
    <w:p w14:paraId="5F2ACBC7" w14:textId="77777777" w:rsidR="004814D8" w:rsidRDefault="00000000">
      <w:pPr>
        <w:numPr>
          <w:ilvl w:val="0"/>
          <w:numId w:val="8"/>
        </w:numPr>
        <w:ind w:left="360"/>
      </w:pPr>
      <w:r>
        <w:t xml:space="preserve">The investment’s adherence to the due diligence </w:t>
      </w:r>
      <w:proofErr w:type="gramStart"/>
      <w:r>
        <w:t>criteria;</w:t>
      </w:r>
      <w:proofErr w:type="gramEnd"/>
    </w:p>
    <w:p w14:paraId="07D873C1" w14:textId="77777777" w:rsidR="004814D8" w:rsidRDefault="00000000">
      <w:pPr>
        <w:numPr>
          <w:ilvl w:val="0"/>
          <w:numId w:val="8"/>
        </w:numPr>
        <w:ind w:left="360"/>
      </w:pPr>
      <w:r>
        <w:t>Material changes in the investment’s organization, investment philosophy and/or personnel; and,</w:t>
      </w:r>
    </w:p>
    <w:p w14:paraId="15DD5A27" w14:textId="77777777" w:rsidR="004814D8" w:rsidRDefault="00000000">
      <w:pPr>
        <w:numPr>
          <w:ilvl w:val="0"/>
          <w:numId w:val="8"/>
        </w:numPr>
        <w:ind w:left="360"/>
      </w:pPr>
      <w:r>
        <w:t>Any legal, SEC and/or other regulatory agency proceedings affecting the investment option’s organization.</w:t>
      </w:r>
    </w:p>
    <w:p w14:paraId="67D855FE" w14:textId="77777777" w:rsidR="004814D8" w:rsidRDefault="004814D8"/>
    <w:p w14:paraId="7167EA94" w14:textId="77777777" w:rsidR="004814D8" w:rsidRDefault="00000000">
      <w:r>
        <w:rPr>
          <w:b/>
        </w:rPr>
        <w:t>XII</w:t>
      </w:r>
      <w:r>
        <w:rPr>
          <w:b/>
        </w:rPr>
        <w:tab/>
        <w:t>Benchmarks</w:t>
      </w:r>
    </w:p>
    <w:p w14:paraId="3A9F32E4" w14:textId="77777777" w:rsidR="004814D8" w:rsidRDefault="004814D8"/>
    <w:p w14:paraId="087029E0" w14:textId="77777777" w:rsidR="004814D8" w:rsidRDefault="00000000">
      <w:r>
        <w:t>Performance objectives will be established for each investment.  Manager performance will be evaluated in terms of an appropriate market index (e.g. the S&amp;P 500 stock index for large-cap domestic equity manager) and the relevant peer group (e.g. the large-cap blend mutual funds universe for a large-cap blend mutual fund).</w:t>
      </w:r>
    </w:p>
    <w:p w14:paraId="52033012" w14:textId="77777777" w:rsidR="004814D8" w:rsidRDefault="004814D8"/>
    <w:p w14:paraId="5F57F722" w14:textId="77777777" w:rsidR="004814D8" w:rsidRDefault="00000000">
      <w:pPr>
        <w:ind w:firstLine="720"/>
      </w:pPr>
      <w:r>
        <w:rPr>
          <w:b/>
        </w:rPr>
        <w:t>Peer Group</w:t>
      </w:r>
      <w:r>
        <w:rPr>
          <w:b/>
        </w:rPr>
        <w:tab/>
      </w:r>
      <w:r>
        <w:rPr>
          <w:b/>
        </w:rPr>
        <w:tab/>
      </w:r>
      <w:r>
        <w:rPr>
          <w:b/>
        </w:rPr>
        <w:tab/>
      </w:r>
      <w:r>
        <w:rPr>
          <w:b/>
        </w:rPr>
        <w:tab/>
        <w:t>Index</w:t>
      </w:r>
    </w:p>
    <w:p w14:paraId="4CB0AFF6" w14:textId="77777777" w:rsidR="004814D8" w:rsidRDefault="004814D8">
      <w:pPr>
        <w:ind w:firstLine="720"/>
      </w:pPr>
    </w:p>
    <w:p w14:paraId="315B5DB0" w14:textId="77777777" w:rsidR="004814D8" w:rsidRDefault="00000000">
      <w:pPr>
        <w:ind w:firstLine="720"/>
      </w:pPr>
      <w:r>
        <w:t>Domestic Bond</w:t>
      </w:r>
      <w:r>
        <w:tab/>
      </w:r>
      <w:r>
        <w:tab/>
      </w:r>
      <w:r>
        <w:tab/>
        <w:t>Barclays Aggregate</w:t>
      </w:r>
    </w:p>
    <w:p w14:paraId="1926034E" w14:textId="77777777" w:rsidR="004814D8" w:rsidRDefault="00000000">
      <w:pPr>
        <w:ind w:firstLine="720"/>
      </w:pPr>
      <w:r>
        <w:t>Global Bond Ex-US</w:t>
      </w:r>
      <w:r>
        <w:tab/>
      </w:r>
      <w:r>
        <w:tab/>
      </w:r>
      <w:r>
        <w:tab/>
        <w:t>MSCI Global Bond</w:t>
      </w:r>
    </w:p>
    <w:p w14:paraId="62597D0F" w14:textId="77777777" w:rsidR="004814D8" w:rsidRDefault="00000000">
      <w:pPr>
        <w:ind w:firstLine="720"/>
      </w:pPr>
      <w:r>
        <w:t>Large Cap</w:t>
      </w:r>
      <w:r>
        <w:tab/>
      </w:r>
      <w:r>
        <w:tab/>
      </w:r>
      <w:r>
        <w:tab/>
      </w:r>
      <w:r>
        <w:tab/>
        <w:t>S&amp;P 500 TR</w:t>
      </w:r>
      <w:r>
        <w:tab/>
      </w:r>
      <w:r>
        <w:tab/>
      </w:r>
      <w:r>
        <w:tab/>
      </w:r>
      <w:r>
        <w:tab/>
      </w:r>
    </w:p>
    <w:p w14:paraId="1E1F8B5B" w14:textId="77777777" w:rsidR="004814D8" w:rsidRDefault="00000000">
      <w:pPr>
        <w:ind w:firstLine="720"/>
      </w:pPr>
      <w:r>
        <w:t>Int’l Developed</w:t>
      </w:r>
      <w:r>
        <w:tab/>
      </w:r>
      <w:r>
        <w:tab/>
      </w:r>
      <w:r>
        <w:tab/>
        <w:t>MSCI World Ex US NR USD</w:t>
      </w:r>
    </w:p>
    <w:p w14:paraId="3B31F2E8" w14:textId="77777777" w:rsidR="004814D8" w:rsidRDefault="00000000">
      <w:pPr>
        <w:ind w:firstLine="720"/>
      </w:pPr>
      <w:r>
        <w:t xml:space="preserve">Emerging </w:t>
      </w:r>
      <w:proofErr w:type="spellStart"/>
      <w:r>
        <w:t>Mrkt</w:t>
      </w:r>
      <w:proofErr w:type="spellEnd"/>
      <w:r>
        <w:t xml:space="preserve"> Eq</w:t>
      </w:r>
      <w:r>
        <w:tab/>
      </w:r>
      <w:r>
        <w:tab/>
      </w:r>
      <w:r>
        <w:tab/>
        <w:t xml:space="preserve">MSCI Emerging </w:t>
      </w:r>
    </w:p>
    <w:p w14:paraId="064087C0" w14:textId="77777777" w:rsidR="004814D8" w:rsidRDefault="00000000">
      <w:pPr>
        <w:ind w:firstLine="720"/>
      </w:pPr>
      <w:r>
        <w:t>Mid-Cap Blend</w:t>
      </w:r>
      <w:r>
        <w:tab/>
      </w:r>
      <w:r>
        <w:tab/>
      </w:r>
      <w:r>
        <w:tab/>
        <w:t xml:space="preserve">S&amp;P </w:t>
      </w:r>
      <w:proofErr w:type="spellStart"/>
      <w:r>
        <w:t>MidCap</w:t>
      </w:r>
      <w:proofErr w:type="spellEnd"/>
      <w:r>
        <w:t xml:space="preserve"> 400 TR</w:t>
      </w:r>
    </w:p>
    <w:p w14:paraId="74A47F94" w14:textId="77777777" w:rsidR="004814D8" w:rsidRDefault="00000000">
      <w:pPr>
        <w:ind w:firstLine="720"/>
      </w:pPr>
      <w:r>
        <w:t>Small Cap Blend</w:t>
      </w:r>
      <w:r>
        <w:tab/>
      </w:r>
      <w:r>
        <w:tab/>
      </w:r>
      <w:r>
        <w:tab/>
        <w:t>Russell 2000 TR</w:t>
      </w:r>
    </w:p>
    <w:p w14:paraId="65BF3EC2" w14:textId="77777777" w:rsidR="004814D8" w:rsidRDefault="00000000">
      <w:pPr>
        <w:ind w:firstLine="720"/>
      </w:pPr>
      <w:r>
        <w:t>Specialty-Real Estate</w:t>
      </w:r>
      <w:r>
        <w:tab/>
      </w:r>
      <w:r>
        <w:tab/>
      </w:r>
      <w:r>
        <w:tab/>
        <w:t>DJ Wilshire REIT</w:t>
      </w:r>
    </w:p>
    <w:p w14:paraId="74D78B30" w14:textId="77777777" w:rsidR="004814D8" w:rsidRDefault="004814D8">
      <w:pPr>
        <w:ind w:firstLine="720"/>
      </w:pPr>
    </w:p>
    <w:p w14:paraId="0C03B42A" w14:textId="77777777" w:rsidR="004814D8" w:rsidRDefault="004814D8"/>
    <w:p w14:paraId="05236F53" w14:textId="77777777" w:rsidR="004814D8" w:rsidRDefault="00000000">
      <w:r>
        <w:rPr>
          <w:b/>
        </w:rPr>
        <w:t>XIII</w:t>
      </w:r>
      <w:r>
        <w:rPr>
          <w:b/>
        </w:rPr>
        <w:tab/>
        <w:t>Spending Policy</w:t>
      </w:r>
    </w:p>
    <w:p w14:paraId="3B72823E" w14:textId="77777777" w:rsidR="004814D8" w:rsidRDefault="004814D8">
      <w:pPr>
        <w:ind w:firstLine="720"/>
      </w:pPr>
    </w:p>
    <w:p w14:paraId="32FB5C1E" w14:textId="77777777" w:rsidR="004814D8" w:rsidRDefault="00000000">
      <w:r>
        <w:rPr>
          <w:b/>
        </w:rPr>
        <w:t>Allowable Spending</w:t>
      </w:r>
    </w:p>
    <w:p w14:paraId="7009AB56" w14:textId="77777777" w:rsidR="004814D8" w:rsidRDefault="004814D8"/>
    <w:p w14:paraId="3DFEE42D" w14:textId="77777777" w:rsidR="004814D8" w:rsidRDefault="00000000">
      <w:r>
        <w:t xml:space="preserve">The responsibility for the spending policy resides with the Board. The approvable spending definition or rate formula is included in the table in Section II of this Policy and is designed to provide a relatively predictable stream of revenues specific to the purpose of each Fund. </w:t>
      </w:r>
    </w:p>
    <w:p w14:paraId="76845568" w14:textId="77777777" w:rsidR="004814D8" w:rsidRDefault="004814D8"/>
    <w:p w14:paraId="4DCD666D" w14:textId="77777777" w:rsidR="004814D8" w:rsidRDefault="00000000">
      <w:r>
        <w:lastRenderedPageBreak/>
        <w:t xml:space="preserve">The Committee will consider whether the established spending rate is appropriate for each Fund and will </w:t>
      </w:r>
      <w:proofErr w:type="gramStart"/>
      <w:r>
        <w:t>make adjustments</w:t>
      </w:r>
      <w:proofErr w:type="gramEnd"/>
      <w:r>
        <w:t xml:space="preserve"> as necessary based on the particular circumstances.</w:t>
      </w:r>
    </w:p>
    <w:p w14:paraId="5BDF2FF3" w14:textId="77777777" w:rsidR="004814D8" w:rsidRDefault="004814D8"/>
    <w:p w14:paraId="1C3F5AA4" w14:textId="77777777" w:rsidR="004814D8" w:rsidRDefault="00000000">
      <w:r>
        <w:rPr>
          <w:b/>
        </w:rPr>
        <w:t>Fund Borrowings</w:t>
      </w:r>
    </w:p>
    <w:p w14:paraId="4585057E" w14:textId="77777777" w:rsidR="004814D8" w:rsidRDefault="004814D8"/>
    <w:p w14:paraId="1B308A4B" w14:textId="77777777" w:rsidR="004814D8" w:rsidRDefault="00000000">
      <w:r>
        <w:t xml:space="preserve">No borrowings shall be permitted. </w:t>
      </w:r>
    </w:p>
    <w:p w14:paraId="303618B8" w14:textId="77777777" w:rsidR="004814D8" w:rsidRDefault="004814D8"/>
    <w:p w14:paraId="265F0A89" w14:textId="77777777" w:rsidR="004814D8" w:rsidRDefault="00000000">
      <w:r>
        <w:rPr>
          <w:b/>
        </w:rPr>
        <w:t>XIV</w:t>
      </w:r>
      <w:r>
        <w:rPr>
          <w:b/>
        </w:rPr>
        <w:tab/>
        <w:t>Measuring Costs</w:t>
      </w:r>
    </w:p>
    <w:p w14:paraId="2723EC62" w14:textId="77777777" w:rsidR="004814D8" w:rsidRDefault="004814D8"/>
    <w:p w14:paraId="28303170" w14:textId="77777777" w:rsidR="004814D8" w:rsidRDefault="00000000">
      <w:r>
        <w:t>The Committee will review at least annually all costs associated with the management of the funds, including:</w:t>
      </w:r>
    </w:p>
    <w:p w14:paraId="5BE55440" w14:textId="77777777" w:rsidR="004814D8" w:rsidRDefault="004814D8"/>
    <w:p w14:paraId="07DE0ECB" w14:textId="77777777" w:rsidR="004814D8" w:rsidRDefault="00000000">
      <w:pPr>
        <w:numPr>
          <w:ilvl w:val="0"/>
          <w:numId w:val="1"/>
        </w:numPr>
        <w:ind w:left="360" w:hanging="360"/>
      </w:pPr>
      <w:r>
        <w:t>Expense ratios of each mutual fund against the appropriate peer group.</w:t>
      </w:r>
    </w:p>
    <w:p w14:paraId="6CEA38AB" w14:textId="77777777" w:rsidR="004814D8" w:rsidRDefault="00000000">
      <w:pPr>
        <w:numPr>
          <w:ilvl w:val="0"/>
          <w:numId w:val="1"/>
        </w:numPr>
        <w:ind w:left="360" w:hanging="360"/>
      </w:pPr>
      <w:r>
        <w:t>Administrative fees, costs to administer accounts, including record keeping, custody and trust services.</w:t>
      </w:r>
    </w:p>
    <w:p w14:paraId="708CD76D" w14:textId="77777777" w:rsidR="004814D8" w:rsidRDefault="00000000">
      <w:pPr>
        <w:numPr>
          <w:ilvl w:val="0"/>
          <w:numId w:val="1"/>
        </w:numPr>
        <w:ind w:left="360" w:hanging="360"/>
      </w:pPr>
      <w:r>
        <w:t>The proper identification and accounting of all parties receiving soft dollars and/or 12b-1 fees generated by the portfolio.</w:t>
      </w:r>
    </w:p>
    <w:p w14:paraId="66317299" w14:textId="77777777" w:rsidR="004814D8" w:rsidRDefault="004814D8"/>
    <w:p w14:paraId="1206371E" w14:textId="77777777" w:rsidR="004814D8" w:rsidRDefault="004814D8">
      <w:pPr>
        <w:rPr>
          <w:b/>
        </w:rPr>
      </w:pPr>
    </w:p>
    <w:p w14:paraId="137D4415" w14:textId="77777777" w:rsidR="004814D8" w:rsidRDefault="00000000">
      <w:r>
        <w:rPr>
          <w:b/>
        </w:rPr>
        <w:t>XV</w:t>
      </w:r>
      <w:r>
        <w:rPr>
          <w:b/>
        </w:rPr>
        <w:tab/>
        <w:t>Conflict of Interest</w:t>
      </w:r>
    </w:p>
    <w:p w14:paraId="47A9865C" w14:textId="77777777" w:rsidR="004814D8" w:rsidRDefault="004814D8"/>
    <w:p w14:paraId="4D94621F" w14:textId="77777777" w:rsidR="004814D8" w:rsidRDefault="00000000">
      <w:r>
        <w:t xml:space="preserve">If any member of the Board, Committee, Finance Committee, Staff or the investment advisor shall have, or appear to have, a conflict of interest that impairs or appears to impair the respective member’s ability to exercise independent and unbiased judgment in the good faith discharge of his or her duties, he or she shall disclose such conflicts prior to meaningful discussion.  All parties must also comply with any other conflicts of interest policies. </w:t>
      </w:r>
    </w:p>
    <w:p w14:paraId="50850BEA" w14:textId="77777777" w:rsidR="004814D8" w:rsidRDefault="004814D8"/>
    <w:p w14:paraId="1B26E2E2" w14:textId="77777777" w:rsidR="004814D8" w:rsidRDefault="00000000">
      <w:r>
        <w:rPr>
          <w:b/>
        </w:rPr>
        <w:t>XVI</w:t>
      </w:r>
      <w:r>
        <w:rPr>
          <w:b/>
        </w:rPr>
        <w:tab/>
        <w:t>Policy Review</w:t>
      </w:r>
    </w:p>
    <w:p w14:paraId="3DDAA788" w14:textId="77777777" w:rsidR="004814D8" w:rsidRDefault="004814D8"/>
    <w:p w14:paraId="0859E56D" w14:textId="77777777" w:rsidR="004814D8" w:rsidRDefault="00000000">
      <w:r>
        <w:t xml:space="preserve">The Board will review this Policy at least annually to determine whether stated investment objectives are still relevant and the continued feasibility of achieving the same.  It is not expected that the Policy will change frequently.  </w:t>
      </w:r>
      <w:proofErr w:type="gramStart"/>
      <w:r>
        <w:t>In particular, short-term</w:t>
      </w:r>
      <w:proofErr w:type="gramEnd"/>
      <w:r>
        <w:t xml:space="preserve"> changes in the financial markets should not require adjustments to the Policy.</w:t>
      </w:r>
    </w:p>
    <w:p w14:paraId="7BC331FA" w14:textId="77777777" w:rsidR="004814D8" w:rsidRDefault="004814D8"/>
    <w:p w14:paraId="0A614A8C" w14:textId="77777777" w:rsidR="004814D8" w:rsidRDefault="00000000">
      <w:pPr>
        <w:keepNext/>
        <w:keepLines/>
        <w:rPr>
          <w:color w:val="000000"/>
        </w:rPr>
      </w:pPr>
      <w:r>
        <w:rPr>
          <w:b/>
        </w:rPr>
        <w:lastRenderedPageBreak/>
        <w:t xml:space="preserve">XVII </w:t>
      </w:r>
      <w:r>
        <w:rPr>
          <w:b/>
        </w:rPr>
        <w:tab/>
        <w:t xml:space="preserve"> Approval and Revision History</w:t>
      </w:r>
    </w:p>
    <w:p w14:paraId="517580C0" w14:textId="77777777" w:rsidR="004814D8" w:rsidRDefault="00000000">
      <w:pPr>
        <w:keepNext/>
        <w:keepLines/>
        <w:rPr>
          <w:color w:val="000000"/>
        </w:rPr>
      </w:pPr>
      <w:r>
        <w:rPr>
          <w:color w:val="000000"/>
        </w:rPr>
        <w:tab/>
      </w:r>
      <w:r>
        <w:rPr>
          <w:color w:val="000000"/>
        </w:rPr>
        <w:tab/>
      </w:r>
    </w:p>
    <w:tbl>
      <w:tblPr>
        <w:tblStyle w:val="a2"/>
        <w:tblW w:w="8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1448"/>
        <w:gridCol w:w="5868"/>
      </w:tblGrid>
      <w:tr w:rsidR="004814D8" w14:paraId="5172C228" w14:textId="77777777">
        <w:tc>
          <w:tcPr>
            <w:tcW w:w="1638" w:type="dxa"/>
          </w:tcPr>
          <w:p w14:paraId="23D91FD1" w14:textId="77777777" w:rsidR="004814D8" w:rsidRDefault="00000000">
            <w:pPr>
              <w:keepNext/>
              <w:keepLines/>
              <w:rPr>
                <w:color w:val="000000"/>
              </w:rPr>
            </w:pPr>
            <w:r>
              <w:rPr>
                <w:b/>
                <w:color w:val="000000"/>
              </w:rPr>
              <w:t>Version</w:t>
            </w:r>
          </w:p>
        </w:tc>
        <w:tc>
          <w:tcPr>
            <w:tcW w:w="1448" w:type="dxa"/>
          </w:tcPr>
          <w:p w14:paraId="5BA65523" w14:textId="77777777" w:rsidR="004814D8" w:rsidRDefault="00000000">
            <w:pPr>
              <w:keepNext/>
              <w:keepLines/>
              <w:rPr>
                <w:color w:val="000000"/>
              </w:rPr>
            </w:pPr>
            <w:r>
              <w:rPr>
                <w:b/>
                <w:color w:val="000000"/>
              </w:rPr>
              <w:t>Date Approved</w:t>
            </w:r>
          </w:p>
        </w:tc>
        <w:tc>
          <w:tcPr>
            <w:tcW w:w="5868" w:type="dxa"/>
          </w:tcPr>
          <w:p w14:paraId="171D131B" w14:textId="77777777" w:rsidR="004814D8" w:rsidRDefault="00000000">
            <w:pPr>
              <w:keepNext/>
              <w:keepLines/>
              <w:rPr>
                <w:color w:val="000000"/>
              </w:rPr>
            </w:pPr>
            <w:r>
              <w:rPr>
                <w:b/>
                <w:color w:val="000000"/>
              </w:rPr>
              <w:t>Reason for Action</w:t>
            </w:r>
          </w:p>
        </w:tc>
      </w:tr>
      <w:tr w:rsidR="004814D8" w14:paraId="39D4BBC9" w14:textId="77777777">
        <w:tc>
          <w:tcPr>
            <w:tcW w:w="1638" w:type="dxa"/>
          </w:tcPr>
          <w:p w14:paraId="3A8F6015" w14:textId="77777777" w:rsidR="004814D8" w:rsidRDefault="00000000">
            <w:pPr>
              <w:keepNext/>
              <w:keepLines/>
              <w:rPr>
                <w:color w:val="000000"/>
              </w:rPr>
            </w:pPr>
            <w:r>
              <w:rPr>
                <w:color w:val="000000"/>
              </w:rPr>
              <w:t>Investment Policy</w:t>
            </w:r>
          </w:p>
        </w:tc>
        <w:tc>
          <w:tcPr>
            <w:tcW w:w="1448" w:type="dxa"/>
          </w:tcPr>
          <w:p w14:paraId="2965E085" w14:textId="77777777" w:rsidR="004814D8" w:rsidRDefault="00000000">
            <w:pPr>
              <w:keepNext/>
              <w:keepLines/>
              <w:rPr>
                <w:color w:val="000000"/>
              </w:rPr>
            </w:pPr>
            <w:r>
              <w:rPr>
                <w:color w:val="000000"/>
              </w:rPr>
              <w:t>10/30/2007</w:t>
            </w:r>
          </w:p>
        </w:tc>
        <w:tc>
          <w:tcPr>
            <w:tcW w:w="5868" w:type="dxa"/>
          </w:tcPr>
          <w:p w14:paraId="44630E75" w14:textId="77777777" w:rsidR="004814D8" w:rsidRDefault="00000000">
            <w:pPr>
              <w:keepNext/>
              <w:keepLines/>
              <w:rPr>
                <w:color w:val="000000"/>
              </w:rPr>
            </w:pPr>
            <w:r>
              <w:rPr>
                <w:color w:val="000000"/>
              </w:rPr>
              <w:t xml:space="preserve">New policy </w:t>
            </w:r>
            <w:proofErr w:type="gramStart"/>
            <w:r>
              <w:rPr>
                <w:color w:val="000000"/>
              </w:rPr>
              <w:t>adopted</w:t>
            </w:r>
            <w:proofErr w:type="gramEnd"/>
          </w:p>
          <w:p w14:paraId="272E6490" w14:textId="77777777" w:rsidR="004814D8" w:rsidRDefault="004814D8">
            <w:pPr>
              <w:keepNext/>
              <w:keepLines/>
              <w:rPr>
                <w:color w:val="000000"/>
              </w:rPr>
            </w:pPr>
          </w:p>
        </w:tc>
      </w:tr>
      <w:tr w:rsidR="004814D8" w14:paraId="3E1CFF2C" w14:textId="77777777">
        <w:tc>
          <w:tcPr>
            <w:tcW w:w="1638" w:type="dxa"/>
          </w:tcPr>
          <w:p w14:paraId="3134CED5" w14:textId="77777777" w:rsidR="004814D8" w:rsidRDefault="00000000">
            <w:pPr>
              <w:keepNext/>
              <w:keepLines/>
              <w:rPr>
                <w:color w:val="000000"/>
              </w:rPr>
            </w:pPr>
            <w:r>
              <w:rPr>
                <w:color w:val="000000"/>
              </w:rPr>
              <w:t xml:space="preserve">   Revision 1</w:t>
            </w:r>
          </w:p>
        </w:tc>
        <w:tc>
          <w:tcPr>
            <w:tcW w:w="1448" w:type="dxa"/>
          </w:tcPr>
          <w:p w14:paraId="51EF9FCA" w14:textId="77777777" w:rsidR="004814D8" w:rsidRDefault="00000000">
            <w:pPr>
              <w:keepNext/>
              <w:keepLines/>
              <w:rPr>
                <w:color w:val="000000"/>
              </w:rPr>
            </w:pPr>
            <w:r>
              <w:rPr>
                <w:color w:val="000000"/>
              </w:rPr>
              <w:t>2/7/2008</w:t>
            </w:r>
          </w:p>
        </w:tc>
        <w:tc>
          <w:tcPr>
            <w:tcW w:w="5868" w:type="dxa"/>
          </w:tcPr>
          <w:p w14:paraId="70D1DD20" w14:textId="77777777" w:rsidR="004814D8" w:rsidRDefault="00000000">
            <w:pPr>
              <w:keepNext/>
              <w:keepLines/>
              <w:rPr>
                <w:color w:val="000000"/>
              </w:rPr>
            </w:pPr>
            <w:r>
              <w:rPr>
                <w:color w:val="000000"/>
              </w:rPr>
              <w:t>Not documented</w:t>
            </w:r>
          </w:p>
        </w:tc>
      </w:tr>
      <w:tr w:rsidR="004814D8" w14:paraId="78FEDA48" w14:textId="77777777">
        <w:tc>
          <w:tcPr>
            <w:tcW w:w="1638" w:type="dxa"/>
          </w:tcPr>
          <w:p w14:paraId="79762036" w14:textId="77777777" w:rsidR="004814D8" w:rsidRDefault="00000000">
            <w:pPr>
              <w:keepNext/>
              <w:keepLines/>
              <w:rPr>
                <w:color w:val="000000"/>
              </w:rPr>
            </w:pPr>
            <w:r>
              <w:rPr>
                <w:color w:val="000000"/>
              </w:rPr>
              <w:t xml:space="preserve">   Revision 2</w:t>
            </w:r>
          </w:p>
        </w:tc>
        <w:tc>
          <w:tcPr>
            <w:tcW w:w="1448" w:type="dxa"/>
          </w:tcPr>
          <w:p w14:paraId="43BEA0AB" w14:textId="77777777" w:rsidR="004814D8" w:rsidRDefault="00000000">
            <w:pPr>
              <w:keepNext/>
              <w:keepLines/>
              <w:rPr>
                <w:color w:val="000000"/>
              </w:rPr>
            </w:pPr>
            <w:r>
              <w:rPr>
                <w:color w:val="000000"/>
              </w:rPr>
              <w:t>6/19/2018</w:t>
            </w:r>
          </w:p>
        </w:tc>
        <w:tc>
          <w:tcPr>
            <w:tcW w:w="5868" w:type="dxa"/>
          </w:tcPr>
          <w:p w14:paraId="03268D14" w14:textId="77777777" w:rsidR="004814D8" w:rsidRDefault="00000000">
            <w:pPr>
              <w:keepNext/>
              <w:keepLines/>
              <w:rPr>
                <w:color w:val="000000"/>
              </w:rPr>
            </w:pPr>
            <w:r>
              <w:rPr>
                <w:color w:val="000000"/>
              </w:rPr>
              <w:t>Annual re-approval</w:t>
            </w:r>
          </w:p>
        </w:tc>
      </w:tr>
      <w:tr w:rsidR="004814D8" w14:paraId="56192E46" w14:textId="77777777">
        <w:tc>
          <w:tcPr>
            <w:tcW w:w="1638" w:type="dxa"/>
          </w:tcPr>
          <w:p w14:paraId="6408E7D4" w14:textId="77777777" w:rsidR="004814D8" w:rsidRDefault="00000000">
            <w:pPr>
              <w:keepNext/>
              <w:keepLines/>
              <w:rPr>
                <w:color w:val="000000"/>
              </w:rPr>
            </w:pPr>
            <w:r>
              <w:rPr>
                <w:color w:val="000000"/>
              </w:rPr>
              <w:t>Resolution on Endowment</w:t>
            </w:r>
          </w:p>
        </w:tc>
        <w:tc>
          <w:tcPr>
            <w:tcW w:w="1448" w:type="dxa"/>
          </w:tcPr>
          <w:p w14:paraId="44B2A188" w14:textId="77777777" w:rsidR="004814D8" w:rsidRDefault="00000000">
            <w:pPr>
              <w:keepNext/>
              <w:keepLines/>
              <w:rPr>
                <w:color w:val="000000"/>
              </w:rPr>
            </w:pPr>
            <w:r>
              <w:rPr>
                <w:color w:val="000000"/>
              </w:rPr>
              <w:t>6/19/2018</w:t>
            </w:r>
          </w:p>
        </w:tc>
        <w:tc>
          <w:tcPr>
            <w:tcW w:w="5868" w:type="dxa"/>
          </w:tcPr>
          <w:p w14:paraId="13EBBF5E" w14:textId="77777777" w:rsidR="004814D8" w:rsidRDefault="00000000">
            <w:pPr>
              <w:keepNext/>
              <w:keepLines/>
              <w:rPr>
                <w:color w:val="000000"/>
              </w:rPr>
            </w:pPr>
            <w:r>
              <w:rPr>
                <w:color w:val="000000"/>
              </w:rPr>
              <w:t>Included in new Investments and Reserve Policy</w:t>
            </w:r>
          </w:p>
        </w:tc>
      </w:tr>
      <w:tr w:rsidR="004814D8" w14:paraId="01A89F98" w14:textId="77777777">
        <w:tc>
          <w:tcPr>
            <w:tcW w:w="1638" w:type="dxa"/>
          </w:tcPr>
          <w:p w14:paraId="1F1104F4" w14:textId="77777777" w:rsidR="004814D8" w:rsidRDefault="00000000">
            <w:pPr>
              <w:keepNext/>
              <w:keepLines/>
              <w:rPr>
                <w:color w:val="000000"/>
              </w:rPr>
            </w:pPr>
            <w:r>
              <w:rPr>
                <w:color w:val="000000"/>
              </w:rPr>
              <w:t>Policies and Guidelines for Endowment Investment</w:t>
            </w:r>
          </w:p>
        </w:tc>
        <w:tc>
          <w:tcPr>
            <w:tcW w:w="1448" w:type="dxa"/>
          </w:tcPr>
          <w:p w14:paraId="6AF7D017" w14:textId="77777777" w:rsidR="004814D8" w:rsidRDefault="00000000">
            <w:pPr>
              <w:keepNext/>
              <w:keepLines/>
              <w:rPr>
                <w:color w:val="000000"/>
              </w:rPr>
            </w:pPr>
            <w:r>
              <w:rPr>
                <w:color w:val="000000"/>
              </w:rPr>
              <w:t>6/19/2018</w:t>
            </w:r>
          </w:p>
        </w:tc>
        <w:tc>
          <w:tcPr>
            <w:tcW w:w="5868" w:type="dxa"/>
          </w:tcPr>
          <w:p w14:paraId="3FF6FF30" w14:textId="77777777" w:rsidR="004814D8" w:rsidRDefault="00000000">
            <w:pPr>
              <w:keepNext/>
              <w:keepLines/>
              <w:rPr>
                <w:color w:val="000000"/>
              </w:rPr>
            </w:pPr>
            <w:r>
              <w:rPr>
                <w:color w:val="000000"/>
              </w:rPr>
              <w:t>This was a new policy adopted by the Board</w:t>
            </w:r>
          </w:p>
        </w:tc>
      </w:tr>
      <w:tr w:rsidR="004814D8" w14:paraId="5C1C0F8D" w14:textId="77777777">
        <w:tc>
          <w:tcPr>
            <w:tcW w:w="1638" w:type="dxa"/>
          </w:tcPr>
          <w:p w14:paraId="3CFF44D0" w14:textId="77777777" w:rsidR="004814D8" w:rsidRDefault="00000000">
            <w:pPr>
              <w:keepNext/>
              <w:keepLines/>
              <w:rPr>
                <w:color w:val="000000"/>
              </w:rPr>
            </w:pPr>
            <w:r>
              <w:rPr>
                <w:color w:val="000000"/>
              </w:rPr>
              <w:t>Rewrite of Reserves and Investment Policy</w:t>
            </w:r>
          </w:p>
        </w:tc>
        <w:tc>
          <w:tcPr>
            <w:tcW w:w="1448" w:type="dxa"/>
          </w:tcPr>
          <w:p w14:paraId="27FFBB0E" w14:textId="77777777" w:rsidR="004814D8" w:rsidRDefault="00000000">
            <w:pPr>
              <w:keepNext/>
              <w:keepLines/>
              <w:rPr>
                <w:color w:val="000000"/>
              </w:rPr>
            </w:pPr>
            <w:r>
              <w:rPr>
                <w:color w:val="000000"/>
              </w:rPr>
              <w:t>3/30/2021</w:t>
            </w:r>
          </w:p>
        </w:tc>
        <w:tc>
          <w:tcPr>
            <w:tcW w:w="5868" w:type="dxa"/>
          </w:tcPr>
          <w:p w14:paraId="18B7BEB6" w14:textId="77777777" w:rsidR="004814D8" w:rsidRDefault="00000000">
            <w:pPr>
              <w:keepNext/>
              <w:keepLines/>
              <w:rPr>
                <w:color w:val="000000"/>
              </w:rPr>
            </w:pPr>
            <w:r>
              <w:rPr>
                <w:color w:val="000000"/>
              </w:rPr>
              <w:t>Above policies combined. General Investment Committee created. Updates to Investment Policy due to creation of Endowment in 2018, six-month operating reserve adopted by Board in 2019 &amp; Scholarship Fund created in 2020.</w:t>
            </w:r>
          </w:p>
        </w:tc>
      </w:tr>
      <w:tr w:rsidR="004814D8" w14:paraId="19D95364" w14:textId="77777777">
        <w:tc>
          <w:tcPr>
            <w:tcW w:w="1638" w:type="dxa"/>
          </w:tcPr>
          <w:p w14:paraId="3B8D8058" w14:textId="77777777" w:rsidR="004814D8" w:rsidRDefault="00000000">
            <w:pPr>
              <w:keepNext/>
              <w:keepLines/>
            </w:pPr>
            <w:r>
              <w:t>Revision 1 (of rewritten policy)</w:t>
            </w:r>
          </w:p>
        </w:tc>
        <w:tc>
          <w:tcPr>
            <w:tcW w:w="1448" w:type="dxa"/>
          </w:tcPr>
          <w:p w14:paraId="3E818DEE" w14:textId="77777777" w:rsidR="004814D8" w:rsidRDefault="00000000">
            <w:pPr>
              <w:keepNext/>
              <w:keepLines/>
            </w:pPr>
            <w:r>
              <w:t>1/31/23</w:t>
            </w:r>
          </w:p>
        </w:tc>
        <w:tc>
          <w:tcPr>
            <w:tcW w:w="5868" w:type="dxa"/>
          </w:tcPr>
          <w:p w14:paraId="0B2EB4C3" w14:textId="77777777" w:rsidR="004814D8" w:rsidRDefault="00000000">
            <w:pPr>
              <w:keepNext/>
              <w:keepLines/>
            </w:pPr>
            <w:r>
              <w:t xml:space="preserve">Expanded membership of Investment Committee to “five to seven” members (rather than five) and updated the language regarding a quorum accordingly. </w:t>
            </w:r>
          </w:p>
        </w:tc>
      </w:tr>
      <w:tr w:rsidR="004814D8" w14:paraId="0471F5F6" w14:textId="77777777">
        <w:tc>
          <w:tcPr>
            <w:tcW w:w="1638" w:type="dxa"/>
          </w:tcPr>
          <w:p w14:paraId="4160DFCC" w14:textId="77777777" w:rsidR="004814D8" w:rsidRDefault="00000000">
            <w:pPr>
              <w:keepNext/>
              <w:keepLines/>
              <w:rPr>
                <w:highlight w:val="yellow"/>
              </w:rPr>
            </w:pPr>
            <w:r>
              <w:rPr>
                <w:highlight w:val="yellow"/>
              </w:rPr>
              <w:t>Rewrite and addition of IPS</w:t>
            </w:r>
          </w:p>
        </w:tc>
        <w:tc>
          <w:tcPr>
            <w:tcW w:w="1448" w:type="dxa"/>
          </w:tcPr>
          <w:p w14:paraId="3C765EFD" w14:textId="77777777" w:rsidR="004814D8" w:rsidRDefault="00000000">
            <w:pPr>
              <w:keepNext/>
              <w:keepLines/>
              <w:rPr>
                <w:highlight w:val="yellow"/>
              </w:rPr>
            </w:pPr>
            <w:r>
              <w:rPr>
                <w:highlight w:val="yellow"/>
              </w:rPr>
              <w:t>1/xx/24</w:t>
            </w:r>
          </w:p>
        </w:tc>
        <w:tc>
          <w:tcPr>
            <w:tcW w:w="5868" w:type="dxa"/>
          </w:tcPr>
          <w:p w14:paraId="2426ED7F" w14:textId="77777777" w:rsidR="004814D8" w:rsidRDefault="00000000">
            <w:pPr>
              <w:keepNext/>
              <w:keepLines/>
              <w:rPr>
                <w:highlight w:val="yellow"/>
              </w:rPr>
            </w:pPr>
            <w:r>
              <w:rPr>
                <w:highlight w:val="yellow"/>
              </w:rPr>
              <w:t>Entire policy re-written using a sample Investment Policy Statement and retaining history and definitions specific to BGCCC</w:t>
            </w:r>
          </w:p>
        </w:tc>
      </w:tr>
      <w:tr w:rsidR="004814D8" w14:paraId="2D846D14" w14:textId="77777777">
        <w:tc>
          <w:tcPr>
            <w:tcW w:w="1638" w:type="dxa"/>
          </w:tcPr>
          <w:p w14:paraId="22F58329" w14:textId="77777777" w:rsidR="004814D8" w:rsidRDefault="004814D8">
            <w:pPr>
              <w:keepNext/>
              <w:keepLines/>
            </w:pPr>
          </w:p>
        </w:tc>
        <w:tc>
          <w:tcPr>
            <w:tcW w:w="1448" w:type="dxa"/>
          </w:tcPr>
          <w:p w14:paraId="3FB5767D" w14:textId="77777777" w:rsidR="004814D8" w:rsidRDefault="004814D8">
            <w:pPr>
              <w:keepNext/>
              <w:keepLines/>
            </w:pPr>
          </w:p>
        </w:tc>
        <w:tc>
          <w:tcPr>
            <w:tcW w:w="5868" w:type="dxa"/>
          </w:tcPr>
          <w:p w14:paraId="2F8F74E6" w14:textId="77777777" w:rsidR="004814D8" w:rsidRDefault="004814D8">
            <w:pPr>
              <w:keepNext/>
              <w:keepLines/>
            </w:pPr>
          </w:p>
        </w:tc>
      </w:tr>
    </w:tbl>
    <w:p w14:paraId="4C5963B8" w14:textId="77777777" w:rsidR="004814D8" w:rsidRDefault="004814D8">
      <w:pPr>
        <w:keepNext/>
        <w:keepLines/>
      </w:pPr>
    </w:p>
    <w:p w14:paraId="1C536050" w14:textId="77777777" w:rsidR="004814D8" w:rsidRDefault="004814D8">
      <w:pPr>
        <w:keepNext/>
        <w:keepLines/>
        <w:rPr>
          <w:sz w:val="32"/>
          <w:szCs w:val="32"/>
        </w:rPr>
      </w:pPr>
    </w:p>
    <w:sectPr w:rsidR="004814D8">
      <w:footerReference w:type="default" r:id="rId8"/>
      <w:pgSz w:w="12240" w:h="15840"/>
      <w:pgMar w:top="1440" w:right="1440" w:bottom="1440" w:left="13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202DB" w14:textId="77777777" w:rsidR="00674268" w:rsidRDefault="00674268">
      <w:r>
        <w:separator/>
      </w:r>
    </w:p>
  </w:endnote>
  <w:endnote w:type="continuationSeparator" w:id="0">
    <w:p w14:paraId="69EE3BA4" w14:textId="77777777" w:rsidR="00674268" w:rsidRDefault="0067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A557" w14:textId="77777777" w:rsidR="004814D8" w:rsidRDefault="00000000">
    <w:pPr>
      <w:pBdr>
        <w:top w:val="nil"/>
        <w:left w:val="nil"/>
        <w:bottom w:val="nil"/>
        <w:right w:val="nil"/>
        <w:between w:val="nil"/>
      </w:pBdr>
      <w:tabs>
        <w:tab w:val="center" w:pos="4680"/>
        <w:tab w:val="right" w:pos="9360"/>
      </w:tabs>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0D2A60">
      <w:rPr>
        <w:noProof/>
        <w:color w:val="000000"/>
      </w:rPr>
      <w:t>1</w:t>
    </w:r>
    <w:r>
      <w:rPr>
        <w:color w:val="000000"/>
      </w:rPr>
      <w:fldChar w:fldCharType="end"/>
    </w:r>
  </w:p>
  <w:p w14:paraId="486EBD5E" w14:textId="77777777" w:rsidR="004814D8" w:rsidRDefault="004814D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045E6" w14:textId="77777777" w:rsidR="00674268" w:rsidRDefault="00674268">
      <w:r>
        <w:separator/>
      </w:r>
    </w:p>
  </w:footnote>
  <w:footnote w:type="continuationSeparator" w:id="0">
    <w:p w14:paraId="0E132096" w14:textId="77777777" w:rsidR="00674268" w:rsidRDefault="00674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553"/>
    <w:multiLevelType w:val="multilevel"/>
    <w:tmpl w:val="656076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2924660"/>
    <w:multiLevelType w:val="multilevel"/>
    <w:tmpl w:val="22B62344"/>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0CC04B80"/>
    <w:multiLevelType w:val="multilevel"/>
    <w:tmpl w:val="85E889E4"/>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1B5705E6"/>
    <w:multiLevelType w:val="multilevel"/>
    <w:tmpl w:val="DDA24928"/>
    <w:lvl w:ilvl="0">
      <w:start w:val="6"/>
      <w:numFmt w:val="upperRoman"/>
      <w:lvlText w:val="%1."/>
      <w:lvlJc w:val="left"/>
      <w:pPr>
        <w:ind w:left="1080" w:hanging="720"/>
      </w:pPr>
      <w:rPr>
        <w:vertAlign w:val="baseline"/>
      </w:rPr>
    </w:lvl>
    <w:lvl w:ilvl="1">
      <w:start w:val="1"/>
      <w:numFmt w:val="decimal"/>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4300E58"/>
    <w:multiLevelType w:val="multilevel"/>
    <w:tmpl w:val="0F7EBD9E"/>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 w15:restartNumberingAfterBreak="0">
    <w:nsid w:val="28C3723A"/>
    <w:multiLevelType w:val="multilevel"/>
    <w:tmpl w:val="DAFCA8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3C54707"/>
    <w:multiLevelType w:val="multilevel"/>
    <w:tmpl w:val="3670D11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15:restartNumberingAfterBreak="0">
    <w:nsid w:val="3B7B1922"/>
    <w:multiLevelType w:val="multilevel"/>
    <w:tmpl w:val="D29AFBCC"/>
    <w:lvl w:ilvl="0">
      <w:start w:val="1"/>
      <w:numFmt w:val="decimal"/>
      <w:lvlText w:val="%1."/>
      <w:lvlJc w:val="left"/>
      <w:pPr>
        <w:ind w:left="360" w:hanging="360"/>
      </w:pPr>
      <w:rPr>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4F3155DD"/>
    <w:multiLevelType w:val="multilevel"/>
    <w:tmpl w:val="801E6B4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78261DAB"/>
    <w:multiLevelType w:val="multilevel"/>
    <w:tmpl w:val="B9D0ECEA"/>
    <w:lvl w:ilvl="0">
      <w:start w:val="1"/>
      <w:numFmt w:val="decimal"/>
      <w:lvlText w:val="%1."/>
      <w:lvlJc w:val="left"/>
      <w:pPr>
        <w:ind w:left="36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16cid:durableId="600377870">
    <w:abstractNumId w:val="2"/>
  </w:num>
  <w:num w:numId="2" w16cid:durableId="283537306">
    <w:abstractNumId w:val="8"/>
  </w:num>
  <w:num w:numId="3" w16cid:durableId="1083526625">
    <w:abstractNumId w:val="7"/>
  </w:num>
  <w:num w:numId="4" w16cid:durableId="2058896325">
    <w:abstractNumId w:val="1"/>
  </w:num>
  <w:num w:numId="5" w16cid:durableId="59714478">
    <w:abstractNumId w:val="6"/>
  </w:num>
  <w:num w:numId="6" w16cid:durableId="1185361523">
    <w:abstractNumId w:val="5"/>
  </w:num>
  <w:num w:numId="7" w16cid:durableId="70592164">
    <w:abstractNumId w:val="0"/>
  </w:num>
  <w:num w:numId="8" w16cid:durableId="1297837417">
    <w:abstractNumId w:val="4"/>
  </w:num>
  <w:num w:numId="9" w16cid:durableId="930236903">
    <w:abstractNumId w:val="9"/>
  </w:num>
  <w:num w:numId="10" w16cid:durableId="5521600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4D8"/>
    <w:rsid w:val="000D2A60"/>
    <w:rsid w:val="004814D8"/>
    <w:rsid w:val="00674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801E"/>
  <w15:docId w15:val="{57B1CF88-FA01-4927-9428-7D842352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qaUfH4eks8kzph8W0KP5jbtm1A==">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3192</Words>
  <Characters>18201</Characters>
  <Application>Microsoft Office Word</Application>
  <DocSecurity>0</DocSecurity>
  <Lines>151</Lines>
  <Paragraphs>42</Paragraphs>
  <ScaleCrop>false</ScaleCrop>
  <Company/>
  <LinksUpToDate>false</LinksUpToDate>
  <CharactersWithSpaces>21351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Schmidt</dc:creator>
  <cp:lastModifiedBy>Jan Schmidt</cp:lastModifiedBy>
  <cp:revision>2</cp:revision>
  <dcterms:created xsi:type="dcterms:W3CDTF">2024-01-09T00:44:00Z</dcterms:created>
  <dcterms:modified xsi:type="dcterms:W3CDTF">2024-01-09T00:44:00Z</dcterms:modified>
</cp:coreProperties>
</file>